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Civic activism online: Making young people dormant or more active inreal life? (Regional project, name not mentioned)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numPr><w:ilvl w:val="0"/><w:numId w:val="5"/></w:numPr></w:pPr><w:r><w:rPr/><w:t xml:space="preserve">Bosnia and Herzegovina</w:t></w:r></w:p><w:p><w:pPr><w:numPr><w:ilvl w:val="0"/><w:numId w:val="5"/></w:numPr></w:pPr><w:r><w:rPr/><w:t xml:space="preserve">Kosovo</w:t></w:r></w:p><w:p><w:pPr><w:numPr><w:ilvl w:val="0"/><w:numId w:val="5"/></w:numPr></w:pPr><w:r><w:rPr/><w:t xml:space="preserve">Macedonia, the Former Yugoslav Republic of</w:t></w:r></w:p><w:p><w:pPr><w:numPr><w:ilvl w:val="0"/><w:numId w:val="5"/></w:numPr></w:pPr><w:r><w:rPr/><w:t xml:space="preserve">Montenegro</w:t></w:r></w:p><w:p><w:pPr><w:numPr><w:ilvl w:val="0"/><w:numId w:val="5"/></w:numPr></w:pPr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13-18 years old</w:t></w:r></w:p><w:p><w:pPr><w:pStyle w:val="Heading2"/></w:pPr><w:bookmarkStart w:id="10" w:name="_Toc11"/><w:r><w:t>Funder</w:t></w:r><w:bookmarkEnd w:id="10"/></w:p><w:p><w:pPr/><w:r><w:rPr/><w:t xml:space="preserve">IPSOS regional offices in the Balkans</w:t></w:r></w:p><w:p><w:pPr><w:pStyle w:val="Heading2"/></w:pPr><w:bookmarkStart w:id="11" w:name="_Toc12"/><w:r><w:t>Has Formal Ethical Clearance</w:t></w:r><w:bookmarkEnd w:id="11"/></w:p><w:p><w:pPr><w:pStyle w:val="Heading2"/></w:pPr><w:bookmarkStart w:id="12" w:name="_Toc13"/><w:r><w:t>Consents</w:t></w:r><w:bookmarkEnd w:id="12"/></w:p><w:p><w:pPr/><w:r><w:rPr/><w:t xml:space="preserve">Consent obtained from parents</w:t></w:r></w:p><w:p><w:pPr><w:pStyle w:val="Heading2"/></w:pPr><w:bookmarkStart w:id="13" w:name="_Toc14"/><w:r><w:t>Informed Consent</w:t></w:r><w:bookmarkEnd w:id="13"/></w:p><w:p><w:pPr/><w:r><w:rPr/><w:t xml:space="preserve">Consent obtained</w:t></w:r></w:p><w:p><w:pPr><w:pStyle w:val="Heading2"/></w:pPr><w:bookmarkStart w:id="14" w:name="_Toc15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6"/><w:r><w:t>Data Set Availability</w:t></w:r><w:bookmarkEnd w:id="15"/></w:p><w:p><w:pPr/><w:r><w:rPr/><w:t xml:space="preserve">Not mentioned</w:t></w:r></w:p><w:p><w:pPr><w:pStyle w:val="Heading1"/></w:pPr><w:bookmarkStart w:id="16" w:name="_Toc17"/><w:r><w:t>Goals</w:t></w:r><w:bookmarkEnd w:id="16"/></w:p><w:p><w:pPr/><w:r><w:rPr/><w:t xml:space="preserve">"The aims of this study were: a) to measure the prevalence  of offline and online civic activism among youth in Western Balkans; b) to examine the relationship between different engagement levels of offline and online civic youth activism in the Balkans, to explore the correlations between activism performed on different platforms; c) to examine structural relations between online and offline activism." (Milosevic Djordjevic & Zezelj, 2017, p. 114)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89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2025-10-31T09:50:16+00:00</dcterms:created>
  <dcterms:modified xsi:type="dcterms:W3CDTF">2025-10-31T09:50:16+00:00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