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The relationship between mental well-being and dysregulated gaming: A specification curve analysis of core and peripheral criteria in five gaming disorder scales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The first author was supported by the EPSRC Centre for Doctoral Training in Intelligent Games & Games Intelligence (IGGI) [EP/S022325/1]. The second author received funding from the ZonMw project [#531004006, Preventieprogramma 5].</w:t></w:r></w:p><w:p><w:pPr><w:pStyle w:val="Heading2"/></w:pPr><w:bookmarkStart w:id="10" w:name="_Toc11"/><w:r><w:t>Funder Types</w:t></w:r><w:bookmarkEnd w:id="10"/></w:p><w:p><w:pPr/><w:r><w:rPr/><w:t xml:space="preserve">National Research Council</w:t></w:r></w:p><w:p><w:pPr><w:pStyle w:val="Heading2"/></w:pPr><w:bookmarkStart w:id="11" w:name="_Toc12"/><w:r><w:t>Consents</w:t></w:r><w:bookmarkEnd w:id="11"/></w:p><w:p><w:pPr/><w:r><w:rPr/><w:t xml:space="preserve">Consent obtained from children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not mentioned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1. What is the strength of the relationship between dysregulated gaming severity and
psychological well-being?
2. How much variability in the size of that effect can be attributed to analytical choices,
including the selection and operationalization of the criterion variable (dysregulated
gaming severity), outcome variable (well-being), and the in/exclusion of various
covariates (demographics, gaming motivations, and need satisfaction in games)?
3. Are dysregulated gaming core criteria more strongly associated with decreased mental
well-being than engagement criteria?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2025-10-30T09:06:36+00:00</dcterms:created>
  <dcterms:modified xsi:type="dcterms:W3CDTF">2025-10-30T09:06:36+00:00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