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DIVSI U25-Studie 2018</w:t>
      </w:r>
    </w:p>
    <w:p>
      <w:pPr>
        <w:pStyle w:val="Title"/>
      </w:pPr>
      <w:r>
        <w:t>Engl. transl.: DIVSI U25-Study 2018</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Deutsches Institut für Vertrauen und Sicherheit im Internet (DIVSI)</w:t>
      </w:r>
    </w:p>
    <w:p>
      <w:pPr>
        <w:pStyle w:val="Heading2"/>
      </w:pPr>
      <w:bookmarkStart w:id="10" w:name="_Toc12"/>
      <w:r>
        <w:t>Funder Types</w:t>
      </w:r>
      <w:bookmarkEnd w:id="10"/>
    </w:p>
    <w:p>
      <w:pPr/>
      <w:r>
        <w:rPr/>
        <w:t xml:space="preserve">Private industry / Company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https://www.divsi.de</w:t>
      </w:r>
    </w:p>
    <w:p>
      <w:pPr>
        <w:pStyle w:val="Heading1"/>
      </w:pPr>
      <w:bookmarkStart w:id="14" w:name="_Toc16"/>
      <w:r>
        <w:t>Goals</w:t>
      </w:r>
      <w:bookmarkEnd w:id="14"/>
    </w:p>
    <w:p>
      <w:pPr/>
      <w:r>
        <w:rPr/>
        <w:t xml:space="preserve">"The new edition of the DIVSI U25-Study aims to map the current scope of the digital lifeworlds of adolescents and young adults in Germany. Similarly to 2014, the study focuses on the use of digital media as well as on the views of young people about the internet, their opinions on data protection and privacy, social media and current internet trends. A focus is placed on the topics of trust and security as well as the associated behavioural consequences among 14 to 24-year-olds." (DIVSI 2018, 10;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08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2025-11-08T07:48:35+00:00</dcterms:created>
  <dcterms:modified xsi:type="dcterms:W3CDTF">2025-11-08T07:48:35+00:00</dcterms:modified>
</cp:coreProperties>
</file>

<file path=docProps/custom.xml><?xml version="1.0" encoding="utf-8"?>
<Properties xmlns="http://schemas.openxmlformats.org/officeDocument/2006/custom-properties" xmlns:vt="http://schemas.openxmlformats.org/officeDocument/2006/docPropsVTypes"/>
</file>