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Global Kids Online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2016</w:t></w:r></w:p><w:p><w:pPr><w:pStyle w:val="Heading2"/></w:pPr><w:bookmarkStart w:id="3" w:name="_Toc4"/><w:r><w:t>Scope</w:t></w:r><w:bookmarkEnd w:id="3"/></w:p><w:p><w:pPr/><w:r><w:rPr/><w:t xml:space="preserve">Multinational</w:t></w:r></w:p><w:p><w:pPr><w:pStyle w:val="Heading2"/></w:pPr><w:bookmarkStart w:id="4" w:name="_Toc5"/><w:r><w:t>Countries</w:t></w:r><w:bookmarkEnd w:id="4"/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9-17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1"/></w:pPr><w:bookmarkStart w:id="14" w:name="_Toc15"/><w:r><w:t>Goals</w:t></w:r><w:bookmarkEnd w:id="14"/></w:p><w:p><w:pPr/><w:r><w:rPr/><w:t xml:space="preserve">"The goal is to develop a global research toolkit, building on the one developed by EU Kids Online, as a flexible new resource for researchers
gathering evidence on children’s use of the internet and the related risks and opportunities of being online."  (Popadić, Pavlović, Petrović, & Kuzmanović, 2016, p. 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C3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2025-11-09T19:20:03+00:00</dcterms:created>
  <dcterms:modified xsi:type="dcterms:W3CDTF">2025-11-09T19:20:03+00:00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