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Didaktické prostriedky uľahčujúce implementáciu vybraných prierezových tém do vyučovania etickej výchovy na druhom stupni ZŠ</w:t>
      </w:r>
    </w:p>
    <w:p>
      <w:pPr>
        <w:pStyle w:val="Title"/>
      </w:pPr>
      <w:r>
        <w:t>Engl. transl.: APVV project No. 14-0176 Didactic Means for Easier Implementation of Chosen Cross-section Themes into Ethical Education in Second Level Education at Primary Schools.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The Slovak Research and Development Agency (Ministry of Education</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project solved pedagogically very current issue - reducing the lack of didactic materials necessary for effective teaching of cross-cutting themes in elementary schools. The study focused on media education and ethics. One of the main goals was to create teaching materials for cross-cutting themes such as media education, multicultural education, environmental education and personal and social development in the  course on Ethics at the second grade of elementary schools.
In order to have evidence based teaching materials for media education, the study also focused on the "risks of online activity within the social network sites used by primary and secondary school pupils, with regard to bullying in cyberspace" (Niklová et al., 2019). The research was conducted with pupils of secondary schools and high schools in the Slovak Republic.  A relationship between the frequency types of social networking sites' usage and the extent of bullying in cyberspace was studied. Questionnaires were used to collect the empirical data. One of the goals of the study was to identify factors in online activity of pupils, and factors in  the forms of cyberbullying. To achieve these goals an exploratory factor analysis was performed.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2025-10-17T06:51:49+00:00</dcterms:created>
  <dcterms:modified xsi:type="dcterms:W3CDTF">2025-10-17T06:51:49+00:00</dcterms:modified>
</cp:coreProperties>
</file>

<file path=docProps/custom.xml><?xml version="1.0" encoding="utf-8"?>
<Properties xmlns="http://schemas.openxmlformats.org/officeDocument/2006/custom-properties" xmlns:vt="http://schemas.openxmlformats.org/officeDocument/2006/docPropsVTypes"/>
</file>