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MiX-ICON project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Media diaries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Experimental / Quasi-experimental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imec.icon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Regional Government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URL</w:t>
      </w:r>
      <w:bookmarkEnd w:id="14"/>
    </w:p>
    <w:p>
      <w:pPr/>
      <w:r>
        <w:rPr/>
        <w:t xml:space="preserve">https://www.imec-int.com/en/icon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Not mentioned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Exploring the contextual factors that shape PM practices of young children’s digital media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F82E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2025-10-13T23:49:56+00:00</dcterms:created>
  <dcterms:modified xsi:type="dcterms:W3CDTF">2025-10-13T23:49:56+00:00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