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Een kinderrechten-perspectief op privacy en databescherming in het digitale tijdperk</w:t>
      </w:r>
    </w:p>
    <w:p>
      <w:pPr>
        <w:pStyle w:val="Title"/>
      </w:pPr>
      <w:r>
        <w:t>Engl. transl.: A children’s rights perspective on privacy and data protection in the digital age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10"/>
      <w:r>
        <w:t>Other Researched Group</w:t>
      </w:r>
      <w:bookmarkEnd w:id="8"/>
    </w:p>
    <w:p>
      <w:pPr/>
      <w:r>
        <w:rPr/>
        <w:t xml:space="preserve">Legislation: human rights documents and data protection instruments, children's rights documents, GDPR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Ghent University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URL</w:t>
      </w:r>
      <w:bookmarkEnd w:id="11"/>
    </w:p>
    <w:p>
      <w:pPr/>
      <w:r>
        <w:rPr/>
        <w:t xml:space="preserve">https://www.ugent.be/re/mpor/law-technology/en/research/childrensrights.htm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The research essentially aims to examine whether and how the right to privacy and data protection for children and youth in the digital age should be re-thought.
The project focuses on a critical analysis of the child’s right to privacy and data protection and investigates whether there is a need for a re-conceptualisation of those rights in the light of recent legal, technological and social developments.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2025-10-17T06:50:36+00:00</dcterms:created>
  <dcterms:modified xsi:type="dcterms:W3CDTF">2025-10-17T06:50:36+00:00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