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SPION - Veiligheid en Privacy in Online Sociale Netwerken</w:t>
      </w:r>
    </w:p>
    <w:p>
      <w:pPr>
        <w:pStyle w:val="Title"/>
      </w:pPr>
      <w:r>
        <w:t>Engl. transl.: SPION - Security and Privacy in Online Social Networks</w:t>
      </w:r>
    </w:p>
    <w:p>
      <w:pPr>
        <w:pStyle w:val="Heading1"/>
      </w:pPr>
      <w:bookmarkStart w:id="1" w:name="_Toc3"/>
      <w:r>
        <w:t>Details</w:t>
      </w:r>
      <w:bookmarkEnd w:id="1"/>
    </w:p>
    <w:p>
      <w:pPr>
        <w:pStyle w:val="Heading2"/>
      </w:pPr>
      <w:bookmarkStart w:id="2" w:name="_Toc4"/>
      <w:r>
        <w:t>Year</w:t>
      </w:r>
      <w:bookmarkEnd w:id="2"/>
    </w:p>
    <w:p>
      <w:pPr/>
      <w:r>
        <w:rPr/>
        <w:t xml:space="preserve">2011</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Belgium</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Survey</w:t>
      </w:r>
    </w:p>
    <w:p>
      <w:pPr>
        <w:numPr>
          <w:ilvl w:val="0"/>
          <w:numId w:val="5"/>
        </w:numPr>
      </w:pPr>
      <w:r>
        <w:rPr/>
        <w:t xml:space="preserve">Interview</w:t>
      </w:r>
    </w:p>
    <w:p>
      <w:pPr>
        <w:numPr>
          <w:ilvl w:val="0"/>
          <w:numId w:val="5"/>
        </w:numPr>
      </w:pPr>
      <w:r>
        <w:rPr/>
        <w:t xml:space="preserve">Focus group</w:t>
      </w:r>
    </w:p>
    <w:p>
      <w:pPr>
        <w:numPr>
          <w:ilvl w:val="0"/>
          <w:numId w:val="5"/>
        </w:numPr>
      </w:pPr>
      <w:r>
        <w:rPr/>
        <w:t xml:space="preserve">Textual / documentary / content analysis</w:t>
      </w:r>
    </w:p>
    <w:p>
      <w:pPr>
        <w:numPr>
          <w:ilvl w:val="0"/>
          <w:numId w:val="5"/>
        </w:numPr>
      </w:pPr>
      <w:r>
        <w:rPr/>
        <w:t xml:space="preserve">Participatory</w:t>
      </w:r>
    </w:p>
    <w:p>
      <w:pPr>
        <w:pStyle w:val="Heading2"/>
      </w:pPr>
      <w:bookmarkStart w:id="7" w:name="_Toc9"/>
      <w:r>
        <w:t>Researched Groups</w:t>
      </w:r>
      <w:bookmarkEnd w:id="7"/>
    </w:p>
    <w:p>
      <w:pPr>
        <w:numPr>
          <w:ilvl w:val="0"/>
          <w:numId w:val="5"/>
        </w:numPr>
      </w:pPr>
      <w:r>
        <w:rPr/>
        <w:t xml:space="preserve">Children</w:t>
      </w:r>
    </w:p>
    <w:p>
      <w:pPr>
        <w:numPr>
          <w:ilvl w:val="0"/>
          <w:numId w:val="5"/>
        </w:numPr>
      </w:pPr>
      <w:r>
        <w:rPr/>
        <w:t xml:space="preserve">Teachers / Educators</w:t>
      </w:r>
    </w:p>
    <w:p>
      <w:pPr>
        <w:numPr>
          <w:ilvl w:val="0"/>
          <w:numId w:val="5"/>
        </w:numPr>
      </w:pPr>
      <w:r>
        <w:rPr/>
        <w:t xml:space="preserve">Youth workers</w:t>
      </w:r>
    </w:p>
    <w:p>
      <w:pPr>
        <w:numPr>
          <w:ilvl w:val="0"/>
          <w:numId w:val="5"/>
        </w:numPr>
      </w:pPr>
      <w:r>
        <w:rPr/>
        <w:t xml:space="preserve">Policymakers and regulators</w:t>
      </w:r>
    </w:p>
    <w:p>
      <w:pPr>
        <w:pStyle w:val="Heading2"/>
      </w:pPr>
      <w:bookmarkStart w:id="8" w:name="_Toc10"/>
      <w:r>
        <w:t>Children Ages</w:t>
      </w:r>
      <w:bookmarkEnd w:id="8"/>
    </w:p>
    <w:p>
      <w:pPr>
        <w:pStyle w:val="Heading2"/>
      </w:pPr>
      <w:bookmarkStart w:id="9" w:name="_Toc11"/>
      <w:r>
        <w:t>Funder</w:t>
      </w:r>
      <w:bookmarkEnd w:id="9"/>
    </w:p>
    <w:p>
      <w:pPr/>
      <w:r>
        <w:rPr/>
        <w:t xml:space="preserve">Strategic Basic Research (SBO) Program of the Flemish Agency for Innovation through Science and Technology (IWT)</w:t>
      </w:r>
    </w:p>
    <w:p>
      <w:pPr>
        <w:pStyle w:val="Heading2"/>
      </w:pPr>
      <w:bookmarkStart w:id="10" w:name="_Toc12"/>
      <w:r>
        <w:t>Funder Types</w:t>
      </w:r>
      <w:bookmarkEnd w:id="10"/>
    </w:p>
    <w:p>
      <w:pPr/>
      <w:r>
        <w:rPr/>
        <w:t xml:space="preserve">Regional Government</w:t>
      </w:r>
    </w:p>
    <w:p>
      <w:pPr>
        <w:pStyle w:val="Heading2"/>
      </w:pPr>
      <w:bookmarkStart w:id="11" w:name="_Toc13"/>
      <w:r>
        <w:t>Has Formal Ethical Clearance</w:t>
      </w:r>
      <w:bookmarkEnd w:id="11"/>
    </w:p>
    <w:p>
      <w:pPr>
        <w:pStyle w:val="Heading2"/>
      </w:pPr>
      <w:bookmarkStart w:id="12" w:name="_Toc14"/>
      <w:r>
        <w:t>Consents</w:t>
      </w:r>
      <w:bookmarkEnd w:id="12"/>
    </w:p>
    <w:p>
      <w:pPr/>
      <w:r>
        <w:rPr/>
        <w:t xml:space="preserve">Consent obtained from children</w:t>
      </w:r>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considerations and/or protocol mentioned in the research design</w:t>
      </w:r>
    </w:p>
    <w:p>
      <w:pPr>
        <w:pStyle w:val="Heading2"/>
      </w:pPr>
      <w:bookmarkStart w:id="15" w:name="_Toc17"/>
      <w:r>
        <w:t>URL</w:t>
      </w:r>
      <w:bookmarkEnd w:id="15"/>
    </w:p>
    <w:p>
      <w:pPr/>
      <w:r>
        <w:rPr/>
        <w:t xml:space="preserve">https://dtai.cs.kuleuven.be/drupal/projects/iwtspion</w:t>
      </w:r>
    </w:p>
    <w:p>
      <w:pPr>
        <w:pStyle w:val="Heading2"/>
      </w:pPr>
      <w:bookmarkStart w:id="16" w:name="_Toc18"/>
      <w:r>
        <w:t>Data Set Availability</w:t>
      </w:r>
      <w:bookmarkEnd w:id="16"/>
    </w:p>
    <w:p>
      <w:pPr/>
      <w:r>
        <w:rPr/>
        <w:t xml:space="preserve">Not mentioned</w:t>
      </w:r>
    </w:p>
    <w:p>
      <w:pPr>
        <w:pStyle w:val="Heading1"/>
      </w:pPr>
      <w:bookmarkStart w:id="17" w:name="_Toc19"/>
      <w:r>
        <w:t>Goals</w:t>
      </w:r>
      <w:bookmarkEnd w:id="17"/>
    </w:p>
    <w:p>
      <w:pPr/>
      <w:r>
        <w:rPr/>
        <w:t xml:space="preserve">The goal is to tackle the responsibilization of individuals with the task of mitigating privacy and security concerns in online social networks by putting the focus on the responsibilities of service providers and stakeholder organizations. 
They will explore ways in which the underlying social networking infrastructures and the
organizations that run them can be made responsible and accountable for the relevant privacy and security concerns. They will also propose ways to develop and run SNS that are technically more secure and transparent to different stakeholders.  They want to achieve this objective by approaching our target audience's needs as well as forms of responsibilization from a variety of disciplines. This target audience includes users, communities and organizations in Flanders. They want to develop solutions that facilitate better decision making with respect to the target groups' privacy and security concerns, to mitigate the risks, threats and concerns that are currently manifest in this domain, and, most importantly, create educational tools to raise the awareness of privacy-issues with youngsters.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2568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2025-10-19T03:44:44+00:00</dcterms:created>
  <dcterms:modified xsi:type="dcterms:W3CDTF">2025-10-19T03:44:44+00:00</dcterms:modified>
</cp:coreProperties>
</file>

<file path=docProps/custom.xml><?xml version="1.0" encoding="utf-8"?>
<Properties xmlns="http://schemas.openxmlformats.org/officeDocument/2006/custom-properties" xmlns:vt="http://schemas.openxmlformats.org/officeDocument/2006/docPropsVTypes"/>
</file>