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De contextuele ontwikkeling van cyberpestgedrag in de vroege adolescentie: een longitudinale "social network" analyse</w:t>
      </w:r>
    </w:p>
    <w:p>
      <w:pPr>
        <w:pStyle w:val="Title"/>
      </w:pPr>
      <w:r>
        <w:t>Engl. transl.: A contextual study in early adolescence: a longitudinal and social network approach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2011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FWO + University of Antwerp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2"/>
      </w:pPr>
      <w:bookmarkStart w:id="12" w:name="_Toc14"/>
      <w:r>
        <w:t>Consents</w:t>
      </w:r>
      <w:bookmarkEnd w:id="12"/>
    </w:p>
    <w:p>
      <w:pPr/>
      <w:r>
        <w:rPr/>
        <w:t xml:space="preserve">Consent obtained from school officials / principal</w:t>
      </w:r>
    </w:p>
    <w:p>
      <w:pPr>
        <w:pStyle w:val="Heading2"/>
      </w:pPr>
      <w:bookmarkStart w:id="13" w:name="_Toc15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6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7"/>
      <w:r>
        <w:t>URL</w:t>
      </w:r>
      <w:bookmarkEnd w:id="15"/>
    </w:p>
    <w:p>
      <w:pPr/>
      <w:r>
        <w:rPr/>
        <w:t xml:space="preserve">https://www.uantwerpen.be/en/staff/heidi-vandebosch/research/</w:t>
      </w:r>
    </w:p>
    <w:p>
      <w:pPr>
        <w:pStyle w:val="Heading2"/>
      </w:pPr>
      <w:bookmarkStart w:id="16" w:name="_Toc18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9"/>
      <w:r>
        <w:t>Goals</w:t>
      </w:r>
      <w:bookmarkEnd w:id="17"/>
    </w:p>
    <w:p>
      <w:pPr/>
      <w:r>
        <w:rPr/>
        <w:t xml:space="preserve">The first goal of this study is to develop a multi-dimensional measurement instrument for cyber-bullying. The second goal of this study is to describe the social dimension of cyber-bullying by means of Social Network Analysis. The third goal of the study is to conduct a longitudinal study that takes the development of adolescents as well as of their social network into account.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2025-10-17T09:40:36+00:00</dcterms:created>
  <dcterms:modified xsi:type="dcterms:W3CDTF">2025-10-17T09:40:36+00:00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