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miniKIM-Studie 2014: Basisuntersuchung zum Medienumgang 2- bis 5-Jähriger in Deutschland</w:t>
      </w:r>
    </w:p>
    <w:p>
      <w:pPr>
        <w:pStyle w:val="Title"/>
      </w:pPr>
      <w:r>
        <w:t>Engl. transl.: miniKIM 2014: Study of the media use of 2- to 5-year-olds in Germany</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Children Ages</w:t>
      </w:r>
      <w:bookmarkEnd w:id="8"/>
    </w:p>
    <w:p>
      <w:pPr/>
      <w:r>
        <w:rPr/>
        <w:t xml:space="preserve">Preschool (0-5 Years old)</w:t>
      </w:r>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Consents</w:t>
      </w:r>
      <w:bookmarkEnd w:id="11"/>
    </w:p>
    <w:p>
      <w:pPr/>
      <w:r>
        <w:rPr/>
        <w:t xml:space="preserve">Consent obtained from parents</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https://www.mpfs.de/studien/minikim-studie/2014/</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For an age-appropriate and meaningful accompaniment of children in our media world, knowledge about everyday media life of small children and the situation in families is required. In order to provide this background knowledge, the Medienpädagogische Forschungsverbund Südwest (mpfs) launched the study series KIM (Children + Media, Computer + Internet), which has been investigating the media behavior of six to 13-year-olds with the "miniKIM" since 1999 Survey of primary educators for two to five year olds expanded. The miniKIM is published by the mpfs as a research cooperation between the State Institute for Communication Baden-Württemberg (LFK) and the State Center for Media and Communication Rhineland-Palatinate (LMK) in cooperation with Südwestrundfunk (SWR). The miniKIM topics are basic data on household equipment, children's media ownership and the most important key data on media use, handling television, books, cell phones, computers and the Internet, as well as the role of digital games. Other aspects are how the primary educator uses media and the role of the media in kindergarten. 
(miniKIM Study, p.3)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2024-04-20T03:21:32+00:00</dcterms:created>
  <dcterms:modified xsi:type="dcterms:W3CDTF">2024-04-20T03:21:32+00:00</dcterms:modified>
</cp:coreProperties>
</file>

<file path=docProps/custom.xml><?xml version="1.0" encoding="utf-8"?>
<Properties xmlns="http://schemas.openxmlformats.org/officeDocument/2006/custom-properties" xmlns:vt="http://schemas.openxmlformats.org/officeDocument/2006/docPropsVTypes"/>
</file>