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miniKIM-Studie 2014: Basisuntersuchung zum Medienumgang 2- bis 5-Jähriger in Deutschland</w:t>
      </w:r>
    </w:p>
    <w:p>
      <w:pPr>
        <w:pStyle w:val="Title"/>
      </w:pPr>
      <w:r>
        <w:t>Engl. transl.: miniKIM 2014: Study of the media use of 2- to 5-year-olds in Germany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Preschool (0-5 Years old)</w:t>
      </w:r>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https://www.mpfs.de/studien/minikim-studie/2014/</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For an age-appropriate and meaningful accompaniment of children in our media world, knowledge about everyday media life of small children and the situation in families is required. In order to provide this background knowledge, the Medienpädagogische Forschungsverbund Südwest (mpfs) launched the study series KIM (Children + Media, Computer + Internet), which has been investigating the media behavior of six to 13-year-olds with the "miniKIM" since 1999 Survey of primary educators for two to five year olds expanded. The miniKIM is published by the mpfs as a research cooperation between the State Institute for Communication Baden-Württemberg (LFK) and the State Center for Media and Communication Rhineland-Palatinate (LMK) in cooperation with Südwestrundfunk (SWR). The miniKIM topics are basic data on household equipment, children's media ownership and the most important key data on media use, handling television, books, cell phones, computers and the Internet, as well as the role of digital games. Other aspects are how the primary educator uses media and the role of the media in kindergarten. 
(miniKIM Study,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2025-10-14T22:17:52+00:00</dcterms:created>
  <dcterms:modified xsi:type="dcterms:W3CDTF">2025-10-14T22:17:52+00:00</dcterms:modified>
</cp:coreProperties>
</file>

<file path=docProps/custom.xml><?xml version="1.0" encoding="utf-8"?>
<Properties xmlns="http://schemas.openxmlformats.org/officeDocument/2006/custom-properties" xmlns:vt="http://schemas.openxmlformats.org/officeDocument/2006/docPropsVTypes"/>
</file>