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The False Beginners project</w:t>
      </w:r>
    </w:p>
    <w:p>
      <w:pPr>
        <w:pStyle w:val="Title"/>
      </w:pPr>
      <w:r>
        <w:t>Engl. transl.: The False Beginners project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2016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Local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Belgium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8"/>
      <w:r>
        <w:t>Methodologies</w:t>
      </w:r>
      <w:bookmarkEnd w:id="6"/>
    </w:p>
    <w:p>
      <w:pPr>
        <w:pStyle w:val="Heading2"/>
      </w:pPr>
      <w:bookmarkStart w:id="7" w:name="_Toc9"/>
      <w:r>
        <w:t>Other Methodology</w:t>
      </w:r>
      <w:bookmarkEnd w:id="7"/>
    </w:p>
    <w:p>
      <w:pPr/>
      <w:r>
        <w:rPr/>
        <w:t xml:space="preserve">Test</w:t>
      </w:r>
    </w:p>
    <w:p>
      <w:pPr>
        <w:pStyle w:val="Heading2"/>
      </w:pPr>
      <w:bookmarkStart w:id="8" w:name="_Toc10"/>
      <w:r>
        <w:t>Researched Groups</w:t>
      </w:r>
      <w:bookmarkEnd w:id="8"/>
    </w:p>
    <w:p>
      <w:pPr/>
      <w:r>
        <w:rPr/>
        <w:t xml:space="preserve">Children</w:t>
      </w:r>
    </w:p>
    <w:p>
      <w:pPr>
        <w:pStyle w:val="Heading2"/>
      </w:pPr>
      <w:bookmarkStart w:id="9" w:name="_Toc11"/>
      <w:r>
        <w:t>Children Ages</w:t>
      </w:r>
      <w:bookmarkEnd w:id="9"/>
    </w:p>
    <w:p>
      <w:pPr/>
      <w:r>
        <w:rPr/>
        <w:t xml:space="preserve">Pre-adolescents (11-13 Years old)</w:t>
      </w:r>
    </w:p>
    <w:p>
      <w:pPr>
        <w:pStyle w:val="Heading2"/>
      </w:pPr>
      <w:bookmarkStart w:id="10" w:name="_Toc12"/>
      <w:r>
        <w:t>Funder</w:t>
      </w:r>
      <w:bookmarkEnd w:id="10"/>
    </w:p>
    <w:p>
      <w:pPr/>
      <w:r>
        <w:rPr/>
        <w:t xml:space="preserve">PWO + Artevelde Hogeschool</w:t>
      </w:r>
    </w:p>
    <w:p>
      <w:pPr>
        <w:pStyle w:val="Heading2"/>
      </w:pPr>
      <w:bookmarkStart w:id="11" w:name="_Toc13"/>
      <w:r>
        <w:t>Funder Types</w:t>
      </w:r>
      <w:bookmarkEnd w:id="11"/>
    </w:p>
    <w:p>
      <w:pPr>
        <w:pStyle w:val="Heading2"/>
      </w:pPr>
      <w:bookmarkStart w:id="12" w:name="_Toc14"/>
      <w:r>
        <w:t>Informed Consent</w:t>
      </w:r>
      <w:bookmarkEnd w:id="12"/>
    </w:p>
    <w:p>
      <w:pPr/>
      <w:r>
        <w:rPr/>
        <w:t xml:space="preserve">No consent needed</w:t>
      </w:r>
    </w:p>
    <w:p>
      <w:pPr>
        <w:pStyle w:val="Heading2"/>
      </w:pPr>
      <w:bookmarkStart w:id="13" w:name="_Toc15"/>
      <w:r>
        <w:t>Ethics</w:t>
      </w:r>
      <w:bookmarkEnd w:id="13"/>
    </w:p>
    <w:p>
      <w:pPr/>
      <w:r>
        <w:rPr/>
        <w:t xml:space="preserve">Ethical considerations not mentioned</w:t>
      </w:r>
    </w:p>
    <w:p>
      <w:pPr>
        <w:pStyle w:val="Heading2"/>
      </w:pPr>
      <w:bookmarkStart w:id="14" w:name="_Toc16"/>
      <w:r>
        <w:t>URL</w:t>
      </w:r>
      <w:bookmarkEnd w:id="14"/>
    </w:p>
    <w:p>
      <w:pPr/>
      <w:r>
        <w:rPr/>
        <w:t xml:space="preserve">https://www.arteveldehogeschool.be/projecten/false-beginners-beginsituatie-voor-het-schoolvak-engels-0</w:t>
      </w:r>
    </w:p>
    <w:p>
      <w:pPr>
        <w:pStyle w:val="Heading1"/>
      </w:pPr>
      <w:bookmarkStart w:id="15" w:name="_Toc17"/>
      <w:r>
        <w:t>Goals</w:t>
      </w:r>
      <w:bookmarkEnd w:id="15"/>
    </w:p>
    <w:p>
      <w:pPr/>
      <w:r>
        <w:rPr/>
        <w:t xml:space="preserve">The survey was conducted to provide a clear view of the initial situation for the subject
English of Flemish children so that policy makers and their instruments (final objectives, curricula, reduction) get a better selection on the needs of the students.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27 Apr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2024-04-27T20:12:27+00:00</dcterms:created>
  <dcterms:modified xsi:type="dcterms:W3CDTF">2024-04-27T20:12:27+00:00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