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 invloed van het gebruik van sociale netwerksites op de relaties tussen stress, sociale steun en het welzijn van jongeren.</w:t>
      </w:r>
    </w:p>
    <w:p>
      <w:pPr>
        <w:pStyle w:val="Title"/>
      </w:pPr>
      <w:r>
        <w:t>Engl. transl.: The impact of the use of social networks on the relations between stress, social support and well-being of youth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FWO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https://www.kuleuven.be/doctoraatsverdediging/fiches/3H12/3H120516.htm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project aimed to contribute to this scholarly debate and hereby aimed to fill a critical gap of knowledge: 1) by examining the processes which explain the impact of Facebook use on adolescents’ well-being, and 2) by investigating the conditions under which the impact of Facebook use on adolescents’ well-being may hold.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2025-10-24T17:01:36+00:00</dcterms:created>
  <dcterms:modified xsi:type="dcterms:W3CDTF">2025-10-24T17:01:36+00:00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