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Onderzoek naar online/offline sociaal kapitaal en het verband met online/offline risicogedrag, zowel op individueel als op buurtniveau</w:t>
      </w:r>
    </w:p>
    <w:p>
      <w:pPr>
        <w:pStyle w:val="Title"/>
      </w:pPr>
      <w:r>
        <w:t>Engl. transl.: Examining online/offline social capital and its association with online/offline risk behaviors, both at the individual and neighborhood level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University of Gent (UGent)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https://www.ugent.be/mict/en/team/junior_researchers/catowaeterloos.htm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The present project focuses on the association between online/offline social capital and online/offline risk behaviors, both at the individual and neighborhood level. Therefore, longitudinal data about socio-economic characteristics, social capital and risk behaviors will be collected among 2400 inhabitants of 60 neighborhoods in Ghent.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2025-10-28T23:03:24+00:00</dcterms:created>
  <dcterms:modified xsi:type="dcterms:W3CDTF">2025-10-28T23:03:24+00:00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