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Onderzoek naar online/offline sociaal kapitaal en het verband met online/offline risicogedrag, zowel op individueel als op buurtniveau</w:t>
      </w:r>
    </w:p>
    <w:p>
      <w:pPr>
        <w:pStyle w:val="Title"/>
      </w:pPr>
      <w:r>
        <w:t>Engl. transl.: Examining online/offline social capital and its association with online/offline risk behaviors, both at the individual and neighborhood level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University of Gent (UGent)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University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/>
      <w:r>
        <w:rPr/>
        <w:t xml:space="preserve">Consent obtained from children</w:t>
      </w:r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issues flagged in the paper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https://www.ugent.be/mict/en/team/junior_researchers/catowaeterloos.htm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Not mentioned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The present project focuses on the association between online/offline social capital and online/offline risk behaviors, both at the individual and neighborhood level. Therefore, longitudinal data about socio-economic characteristics, social capital and risk behaviors will be collected among 2400 inhabitants of 60 neighborhoods in Ghent.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29 Mar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2024-03-29T13:28:44+00:00</dcterms:created>
  <dcterms:modified xsi:type="dcterms:W3CDTF">2024-03-29T13:28:44+00:00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