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Cyberrelationeel geweld bij jonge adolescenten: Naar een omvattend begrip van controlerend gedrag en sexting onder druk</w:t>
      </w:r>
    </w:p>
    <w:p>
      <w:pPr>
        <w:pStyle w:val="Title"/>
      </w:pPr>
      <w:r>
        <w:t>Engl. transl.: Cyberrelational violence with young adolescents: Toward a comprehensive understanding of controlling behavior and sexting under pressure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https://researchportal.be/nl/project/cyberrelationeel-geweld-bij-jonge-adolescenten-naar-een-omvattend-begrip-van-controlerend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project aims to provide a deeper understanding of the context in which cyber-relationship violence occurs, through both qualitative and quantitative research.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2025-10-20T19:05:25+00:00</dcterms:created>
  <dcterms:modified xsi:type="dcterms:W3CDTF">2025-10-20T19:05:25+00:00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