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CompuLsIeve Computergebruik en Kennisbehoeften in België: Een multimethodische benadering (CLICK)</w:t></w:r></w:p><w:p><w:pPr><w:pStyle w:val="Title"/></w:pPr><w:r><w:t>Engl. transl.: CompuLsIve Computer use and Knowledge needs in Belgium: A multimethod approach (CLICK)</w:t></w:r></w:p><w:p><w:pPr><w:pStyle w:val="Heading1"/></w:pPr><w:bookmarkStart w:id="1" w:name="_Toc3"/><w:r><w:t>Details</w:t></w:r><w:bookmarkEnd w:id="1"/></w:p><w:p><w:pPr><w:pStyle w:val="Heading2"/></w:pPr><w:bookmarkStart w:id="2" w:name="_Toc4"/><w:r><w:t>Year</w:t></w:r><w:bookmarkEnd w:id="2"/></w:p><w:p><w:pPr/><w:r><w:rPr/><w:t xml:space="preserve">2012</w:t></w:r></w:p><w:p><w:pPr><w:pStyle w:val="Heading2"/></w:pPr><w:bookmarkStart w:id="3" w:name="_Toc5"/><w:r><w:t>Scope</w:t></w:r><w:bookmarkEnd w:id="3"/></w:p><w:p><w:pPr/><w:r><w:rPr/><w:t xml:space="preserve">National</w:t></w:r></w:p><w:p><w:pPr><w:pStyle w:val="Heading2"/></w:pPr><w:bookmarkStart w:id="4" w:name="_Toc6"/><w:r><w:t>Countries</w:t></w:r><w:bookmarkEnd w:id="4"/></w:p><w:p><w:pPr/><w:r><w:rPr/><w:t xml:space="preserve">Belgium</w:t></w:r></w:p><w:p><w:pPr><w:pStyle w:val="Heading2"/></w:pPr><w:bookmarkStart w:id="5" w:name="_Toc7"/><w:r><w:t>Type</w:t></w:r><w:bookmarkEnd w:id="5"/></w:p><w:p><w:pPr/><w:r><w:rPr/><w:t xml:space="preserve">Empirical research – Mixed methods</w:t></w:r></w:p><w:p><w:pPr><w:pStyle w:val="Heading2"/></w:pPr><w:bookmarkStart w:id="6" w:name="_Toc8"/><w:r><w:t>Methodologies</w:t></w:r><w:bookmarkEnd w:id="6"/></w:p><w:p><w:pPr><w:numPr><w:ilvl w:val="0"/><w:numId w:val="5"/></w:numPr></w:pPr><w:r><w:rPr/><w:t xml:space="preserve">Survey</w:t></w:r></w:p><w:p><w:pPr><w:numPr><w:ilvl w:val="0"/><w:numId w:val="5"/></w:numPr></w:pPr><w:r><w:rPr/><w:t xml:space="preserve">Online quantitative methods (e.g. Online survey)</w:t></w:r></w:p><w:p><w:pPr><w:numPr><w:ilvl w:val="0"/><w:numId w:val="5"/></w:numPr></w:pPr><w:r><w:rPr/><w:t xml:space="preserve">Interview</w:t></w:r></w:p><w:p><w:pPr><w:pStyle w:val="Heading2"/></w:pPr><w:bookmarkStart w:id="7" w:name="_Toc9"/><w:r><w:t>Researched Groups</w:t></w:r><w:bookmarkEnd w:id="7"/></w:p><w:p><w:pPr/><w:r><w:rPr/><w:t xml:space="preserve">Children</w:t></w:r></w:p><w:p><w:pPr><w:pStyle w:val="Heading2"/></w:pPr><w:bookmarkStart w:id="8" w:name="_Toc10"/><w:r><w:t>Children Ages</w:t></w:r><w:bookmarkEnd w:id="8"/></w:p><w:p><w:pPr><w:numPr><w:ilvl w:val="0"/><w:numId w:val="5"/></w:numPr></w:pPr><w:r><w:rPr/><w:t xml:space="preserve">Pre-adolescents (11-13 Years old)</w:t></w:r></w:p><w:p><w:pPr><w:numPr><w:ilvl w:val="0"/><w:numId w:val="5"/></w:numPr></w:pPr><w:r><w:rPr/><w:t xml:space="preserve">Adolescents (14-18 Years old)</w:t></w:r></w:p><w:p><w:pPr><w:numPr><w:ilvl w:val="0"/><w:numId w:val="5"/></w:numPr></w:pPr><w:r><w:rPr/><w:t xml:space="preserve">Young adults (19-24 Years old)</w:t></w:r></w:p><w:p><w:pPr><w:numPr><w:ilvl w:val="0"/><w:numId w:val="5"/></w:numPr></w:pPr><w:r><w:rPr/><w:t xml:space="preserve">Other</w:t></w:r></w:p><w:p><w:pPr><w:pStyle w:val="Heading2"/></w:pPr><w:bookmarkStart w:id="9" w:name="_Toc11"/><w:r><w:t>Other Childrens Age Group</w:t></w:r><w:bookmarkEnd w:id="9"/></w:p><w:p><w:pPr/><w:r><w:rPr/><w:t xml:space="preserve">+ 18 (was not mentioned exactily)</w:t></w:r></w:p><w:p><w:pPr><w:pStyle w:val="Heading2"/></w:pPr><w:bookmarkStart w:id="10" w:name="_Toc12"/><w:r><w:t>Funder</w:t></w:r><w:bookmarkEnd w:id="10"/></w:p><w:p><w:pPr/><w:r><w:rPr/><w:t xml:space="preserve">BELSPO</w:t></w:r></w:p><w:p><w:pPr><w:pStyle w:val="Heading2"/></w:pPr><w:bookmarkStart w:id="11" w:name="_Toc13"/><w:r><w:t>Funder Types</w:t></w:r><w:bookmarkEnd w:id="11"/></w:p><w:p><w:pPr/><w:r><w:rPr/><w:t xml:space="preserve">National Government / Ministry</w:t></w:r></w:p><w:p><w:pPr><w:pStyle w:val="Heading2"/></w:pPr><w:bookmarkStart w:id="12" w:name="_Toc14"/><w:r><w:t>Has Formal Ethical Clearance</w:t></w:r><w:bookmarkEnd w:id="12"/></w:p><w:p><w:pPr><w:pStyle w:val="Heading2"/></w:pPr><w:bookmarkStart w:id="13" w:name="_Toc15"/><w:r><w:t>Informed Consent</w:t></w:r><w:bookmarkEnd w:id="13"/></w:p><w:p><w:pPr/><w:r><w:rPr/><w:t xml:space="preserve">Consent not mentioned</w:t></w:r></w:p><w:p><w:pPr><w:pStyle w:val="Heading2"/></w:pPr><w:bookmarkStart w:id="14" w:name="_Toc16"/><w:r><w:t>Ethics</w:t></w:r><w:bookmarkEnd w:id="14"/></w:p><w:p><w:pPr/><w:r><w:rPr/><w:t xml:space="preserve">Ethical issues flagged in the paper</w:t></w:r></w:p><w:p><w:pPr><w:pStyle w:val="Heading2"/></w:pPr><w:bookmarkStart w:id="15" w:name="_Toc17"/><w:r><w:t>URL</w:t></w:r><w:bookmarkEnd w:id="15"/></w:p><w:p><w:pPr/><w:r><w:rPr/><w:t xml:space="preserve">http://www.belspo.be/belspo/fedra/proj.asp?l=en&COD=DR%2F64</w:t></w:r></w:p><w:p><w:pPr><w:pStyle w:val="Heading2"/></w:pPr><w:bookmarkStart w:id="16" w:name="_Toc18"/><w:r><w:t>Data Set Availability</w:t></w:r><w:bookmarkEnd w:id="16"/></w:p><w:p><w:pPr/><w:r><w:rPr/><w:t xml:space="preserve">Not mentioned</w:t></w:r></w:p><w:p><w:pPr><w:pStyle w:val="Heading1"/></w:pPr><w:bookmarkStart w:id="17" w:name="_Toc19"/><w:r><w:t>Goals</w:t></w:r><w:bookmarkEnd w:id="17"/></w:p><w:p><w:pPr/><w:r><w:rPr/><w:t xml:space="preserve">The research set-up constructed with different partners meets the following requirements:

1. To start from previous research in neighboring countries (e.g., the Netherlands) so that we can both benefit from data and measurement scales in order to conduct a large scale and in depth research in Belgium, and validate and improve the scales in another settings and language (French and Flemish).

2. To work in close collaboration with specialized partners in the counseling and healing field who are dealing with issues of CIU/CCU in Flanders and Wallonia.

3. To ensure a coherent research set-up that runs parallel in both the North and the South of the country.

4. To provide recommendations for a mental health policy concerned with anticipating and taking care of possible growing problems related with CIU/CCU in the near future.</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F551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2025-10-21T22:49:28+00:00</dcterms:created>
  <dcterms:modified xsi:type="dcterms:W3CDTF">2025-10-21T22:49:28+00:00</dcterms:modified>
</cp:coreProperties>
</file>

<file path=docProps/custom.xml><?xml version="1.0" encoding="utf-8"?>
<Properties xmlns="http://schemas.openxmlformats.org/officeDocument/2006/custom-properties" xmlns:vt="http://schemas.openxmlformats.org/officeDocument/2006/docPropsVTypes"/>
</file>