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17. Shell Jugendstudie</w:t>
      </w:r>
    </w:p>
    <w:p>
      <w:pPr>
        <w:pStyle w:val="Title"/>
      </w:pPr>
      <w:r>
        <w:t>Engl. transl.: 17th Shell Youth-Study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 Shell Holding GmbH</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https://www.shell.de/ueber-uns/shell-jugendstudie.html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"Ever since 1953, Shell has commissioned independent scientists and institutes to conduct studies to document the views, moods and expectations of young people in Germany. Not only does the Shell Youth Study offer a look at today's youth, but it also provides food for thought on socio-political issues. With its long-term reporting, it provides policymakers with a basis for social and political action. Thus, this study traces how young people deal with challenges and the behaviours, attitudes and mentalities that develop in the process. The 17th Shell Youth-Study examines the political and social conditions under which today's young people grow up.  The study depicts the diversity of young people's lifeworlds while simultaneously working out how young people today differ from previous generations." 
(Albert, Hurrelmann, Quenzel 2015, n. P.; translated by the coder [URL: https://www.bundestag.de/resource/blob/632026/7558ce0d8a172b47f78c770dfb35d6ac/KDrs-19-28-38_Broschuere-Shell-Jugenstudie-data.pdf])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D0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2025-10-19T11:50:21+00:00</dcterms:created>
  <dcterms:modified xsi:type="dcterms:W3CDTF">2025-10-19T11:50:21+00:00</dcterms:modified>
</cp:coreProperties>
</file>

<file path=docProps/custom.xml><?xml version="1.0" encoding="utf-8"?>
<Properties xmlns="http://schemas.openxmlformats.org/officeDocument/2006/custom-properties" xmlns:vt="http://schemas.openxmlformats.org/officeDocument/2006/docPropsVTypes"/>
</file>