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Kvalitet obrazovnog sistema Srbije u evropskoj perspektivi i Pedagoški pluralizam kao osnova strategije obrazovanja</w:t></w:r></w:p><w:p><w:pPr><w:pStyle w:val="Title"/></w:pPr><w:r><w:t>Engl. transl.: The quality of the education system of Serbia in the European perspective and Pedagogical pluralism as the basis of the education strategy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Parents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12 years old</w:t></w:r></w:p><w:p><w:pPr><w:pStyle w:val="Heading2"/></w:pPr><w:bookmarkStart w:id="10" w:name="_Toc12"/><w:r><w:t>Funder</w:t></w:r><w:bookmarkEnd w:id="10"/></w:p><w:p><w:pPr/><w:r><w:rPr/><w:t xml:space="preserve">Ministry of Education, Science and Technological Development of the Republic of Serbia</w:t></w:r></w:p><w:p><w:pPr><w:pStyle w:val="Heading2"/></w:pPr><w:bookmarkStart w:id="11" w:name="_Toc13"/><w:r><w:t>Funder Types</w:t></w:r><w:bookmarkEnd w:id="11"/></w:p><w:p><w:pPr/><w:r><w:rPr/><w:t xml:space="preserve">National Government / Ministry</w:t></w:r></w:p><w:p><w:pPr><w:pStyle w:val="Heading2"/></w:pPr><w:bookmarkStart w:id="12" w:name="_Toc14"/><w:r><w:t>Informed Consent</w:t></w:r><w:bookmarkEnd w:id="12"/></w:p><w:p><w:pPr/><w:r><w:rPr/><w:t xml:space="preserve">Consent not mentioned</w:t></w:r></w:p><w:p><w:pPr><w:pStyle w:val="Heading2"/></w:pPr><w:bookmarkStart w:id="13" w:name="_Toc15"/><w:r><w:t>Data Set Availability</w:t></w:r><w:bookmarkEnd w:id="13"/></w:p><w:p><w:pPr/><w:r><w:rPr/><w:t xml:space="preserve">Not mentioned</w:t></w:r></w:p><w:p><w:pPr><w:pStyle w:val="Heading1"/></w:pPr><w:bookmarkStart w:id="14" w:name="_Toc16"/><w:r><w:t>Goals</w:t></w:r><w:bookmarkEnd w:id="14"/></w:p><w:p><w:pPr/><w:r><w:rPr/><w:t xml:space="preserve">"The aim of the research is to examine ways of parental control of children's behavior on the Internet and social networks." (Zuković & Slijepčević, 2015, p. 245) (translated by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2025-10-17T01:09:37+00:00</dcterms:created>
  <dcterms:modified xsi:type="dcterms:W3CDTF">2025-10-17T01:09:37+00:00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