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Küberkiusamise fenomeni tajumine Eesti õpilaste seas: sooline võrdlus kiusamise kriteeriumite ja liikide alusel</w:t>
      </w:r>
    </w:p>
    <w:p>
      <w:pPr>
        <w:pStyle w:val="Title"/>
      </w:pPr>
      <w:r>
        <w:t>Engl. transl.: The perception of the cyberbullying phenomenon among Estonian students: Comparison of boys and girls on the basis of cyberbullying criteria and types of behaviour</w:t>
      </w:r>
    </w:p>
    <w:p>
      <w:pPr>
        <w:pStyle w:val="Heading1"/>
      </w:pPr>
      <w:bookmarkStart w:id="1" w:name="_Toc3"/>
      <w:r>
        <w:t>Details</w:t>
      </w:r>
      <w:bookmarkEnd w:id="1"/>
    </w:p>
    <w:p>
      <w:pPr>
        <w:pStyle w:val="Heading2"/>
      </w:pPr>
      <w:bookmarkStart w:id="2" w:name="_Toc4"/>
      <w:r>
        <w:t>Year</w:t>
      </w:r>
      <w:bookmarkEnd w:id="2"/>
    </w:p>
    <w:p>
      <w:pPr/>
      <w:r>
        <w:rPr/>
        <w:t xml:space="preserve">2011</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Estonia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European Cooperation in Science and Technology</w:t>
      </w:r>
    </w:p>
    <w:p>
      <w:pPr>
        <w:pStyle w:val="Heading2"/>
      </w:pPr>
      <w:bookmarkStart w:id="10" w:name="_Toc12"/>
      <w:r>
        <w:t>Funder Types</w:t>
      </w:r>
      <w:bookmarkEnd w:id="10"/>
    </w:p>
    <w:p>
      <w:pPr/>
      <w:r>
        <w:rPr/>
        <w:t xml:space="preserve">NGO (Advocacy, Charity, Consumer  organization)</w:t>
      </w:r>
    </w:p>
    <w:p>
      <w:pPr>
        <w:pStyle w:val="Heading2"/>
      </w:pPr>
      <w:bookmarkStart w:id="11" w:name="_Toc13"/>
      <w:r>
        <w:t>Consents</w:t>
      </w:r>
      <w:bookmarkEnd w:id="11"/>
    </w:p>
    <w:p>
      <w:pPr/>
      <w:r>
        <w:rPr/>
        <w:t xml:space="preserve">Consent obtained from school officials / principal</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aim of this study was to compare Estonian boys’ and girls’ perception of cyberbullying on the basis of the five cyberbullying criteria (imbalance of power, intention, repetition, anonymity, and publicity/privacy) and four types of cyberbullying behaviour (written-verbal, visual, exclusion, and impersonation).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2025-11-05T03:29:50+00:00</dcterms:created>
  <dcterms:modified xsi:type="dcterms:W3CDTF">2025-11-05T03:29:50+00:00</dcterms:modified>
</cp:coreProperties>
</file>

<file path=docProps/custom.xml><?xml version="1.0" encoding="utf-8"?>
<Properties xmlns="http://schemas.openxmlformats.org/officeDocument/2006/custom-properties" xmlns:vt="http://schemas.openxmlformats.org/officeDocument/2006/docPropsVTypes"/>
</file>