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Zaustavimo digitalno nasilje</w:t></w:r></w:p><w:p><w:pPr><w:pStyle w:val="Title"/></w:pPr><w:r><w:t>Engl. transl.: Stop Digital Violence</w:t></w:r></w:p><w:p><w:pPr><w:pStyle w:val="Heading1"/></w:pPr><w:bookmarkStart w:id="1" w:name="_Toc3"/><w:r><w:t>Details</w:t></w:r><w:bookmarkEnd w:id="1"/></w:p><w:p><w:pPr><w:pStyle w:val="Heading2"/></w:pPr><w:bookmarkStart w:id="2" w:name="_Toc4"/><w:r><w:t>Year</w:t></w:r><w:bookmarkEnd w:id="2"/></w:p><w:p><w:pPr/><w:r><w:rPr/><w:t xml:space="preserve">2012</w:t></w:r></w:p><w:p><w:pPr><w:pStyle w:val="Heading2"/></w:pPr><w:bookmarkStart w:id="3" w:name="_Toc5"/><w:r><w:t>Scope</w:t></w:r><w:bookmarkEnd w:id="3"/></w:p><w:p><w:pPr/><w:r><w:rPr/><w:t xml:space="preserve">National</w:t></w:r></w:p><w:p><w:pPr><w:pStyle w:val="Heading2"/></w:pPr><w:bookmarkStart w:id="4" w:name="_Toc6"/><w:r><w:t>Countries</w:t></w:r><w:bookmarkEnd w:id="4"/></w:p><w:p><w:pPr/><w:r><w:rPr/><w:t xml:space="preserve">Serbia</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numPr><w:ilvl w:val="0"/><w:numId w:val="5"/></w:numPr></w:pPr><w:r><w:rPr/><w:t xml:space="preserve">Children</w:t></w:r></w:p><w:p><w:pPr><w:numPr><w:ilvl w:val="0"/><w:numId w:val="5"/></w:numPr></w:pPr><w:r><w:rPr/><w:t xml:space="preserve">Parents</w:t></w:r></w:p><w:p><w:pPr><w:numPr><w:ilvl w:val="0"/><w:numId w:val="5"/></w:numPr></w:pPr><w:r><w:rPr/><w:t xml:space="preserve">Teachers / Educators</w:t></w:r></w:p><w:p><w:pPr><w:pStyle w:val="Heading2"/></w:pPr><w:bookmarkStart w:id="8" w:name="_Toc10"/><w:r><w:t>Children Ages</w:t></w:r><w:bookmarkEnd w:id="8"/></w:p><w:p><w:pPr/><w:r><w:rPr/><w:t xml:space="preserve">Other</w:t></w:r></w:p><w:p><w:pPr><w:pStyle w:val="Heading2"/></w:pPr><w:bookmarkStart w:id="9" w:name="_Toc11"/><w:r><w:t>Other Childrens Age Group</w:t></w:r><w:bookmarkEnd w:id="9"/></w:p><w:p><w:pPr/><w:r><w:rPr/><w:t xml:space="preserve">10-18 years old</w:t></w:r></w:p><w:p><w:pPr><w:pStyle w:val="Heading2"/></w:pPr><w:bookmarkStart w:id="10" w:name="_Toc12"/><w:r><w:t>Funder</w:t></w:r><w:bookmarkEnd w:id="10"/></w:p><w:p><w:pPr/><w:r><w:rPr/><w:t xml:space="preserve">The Ministry of Education, Science, and Technological Development of the Republic of Serbia, UNICEF Office in Serbia, and Telenor</w:t></w:r></w:p><w:p><w:pPr><w:pStyle w:val="Heading2"/></w:pPr><w:bookmarkStart w:id="11" w:name="_Toc13"/><w:r><w:t>Funder Types</w:t></w:r><w:bookmarkEnd w:id="11"/></w:p><w:p><w:pPr><w:pStyle w:val="Heading2"/></w:pPr><w:bookmarkStart w:id="12" w:name="_Toc14"/><w:r><w:t>Has Formal Ethical Clearance</w:t></w:r><w:bookmarkEnd w:id="12"/></w:p><w:p><w:pPr><w:pStyle w:val="Heading2"/></w:pPr><w:bookmarkStart w:id="13" w:name="_Toc15"/><w:r><w:t>Consents</w:t></w:r><w:bookmarkEnd w:id="13"/></w:p><w:p><w:pPr><w:numPr><w:ilvl w:val="0"/><w:numId w:val="5"/></w:numPr></w:pPr><w:r><w:rPr/><w:t xml:space="preserve">Consent obtained from parents</w:t></w:r></w:p><w:p><w:pPr><w:numPr><w:ilvl w:val="0"/><w:numId w:val="5"/></w:numPr></w:pPr><w:r><w:rPr/><w:t xml:space="preserve">Consent obtained from children</w:t></w:r></w:p><w:p><w:pPr><w:numPr><w:ilvl w:val="0"/><w:numId w:val="5"/></w:numPr></w:pPr><w:r><w:rPr/><w:t xml:space="preserve">Consent obtained from school officials / principal</w:t></w:r></w:p><w:p><w:pPr><w:pStyle w:val="Heading2"/></w:pPr><w:bookmarkStart w:id="14" w:name="_Toc16"/><w:r><w:t>Informed Consent</w:t></w:r><w:bookmarkEnd w:id="14"/></w:p><w:p><w:pPr/><w:r><w:rPr/><w:t xml:space="preserve">Consent obtained</w:t></w:r></w:p><w:p><w:pPr><w:pStyle w:val="Heading2"/></w:pPr><w:bookmarkStart w:id="15" w:name="_Toc17"/><w:r><w:t>Ethics</w:t></w:r><w:bookmarkEnd w:id="15"/></w:p><w:p><w:pPr/><w:r><w:rPr/><w:t xml:space="preserve">Ethical considerations and/or protocol mentioned in the research design</w:t></w:r></w:p><w:p><w:pPr><w:pStyle w:val="Heading2"/></w:pPr><w:bookmarkStart w:id="16" w:name="_Toc18"/><w:r><w:t>Data Set Availability</w:t></w:r><w:bookmarkEnd w:id="16"/></w:p><w:p><w:pPr/><w:r><w:rPr/><w:t xml:space="preserve">Not mentioned</w:t></w:r></w:p><w:p><w:pPr><w:pStyle w:val="Heading1"/></w:pPr><w:bookmarkStart w:id="17" w:name="_Toc19"/><w:r><w:t>Goals</w:t></w:r><w:bookmarkEnd w:id="17"/></w:p><w:p><w:pPr/><w:r><w:rPr/><w:t xml:space="preserve">"The research whose results we present in this publication had a multiple goal. First, the aim was to determine how much and for what purposes young people use digital devices and the Internet, whether they expose themselves and others to the risks of digital communication, whether and to what extent young people are involved in various forms of digital violence (as victims, perpetrators or as witnesses) and how they react in case they are victims or witnesses of digital violence. In addition, we were interested in the connection between digital victimization and digital violence, as well as the connection between classic forms of violence and digital violence. " (Popadić & Kuzmanović, 2016, p. 7) (translated by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9A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2025-10-15T18:22:40+00:00</dcterms:created>
  <dcterms:modified xsi:type="dcterms:W3CDTF">2025-10-15T18:22:40+00:00</dcterms:modified>
</cp:coreProperties>
</file>

<file path=docProps/custom.xml><?xml version="1.0" encoding="utf-8"?>
<Properties xmlns="http://schemas.openxmlformats.org/officeDocument/2006/custom-properties" xmlns:vt="http://schemas.openxmlformats.org/officeDocument/2006/docPropsVTypes"/>
</file>