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Do (pre)adolescents mind about healthy media use: Relationships with parental mediation, demographics and use of devices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2015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Netherlands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Has Formal Ethical Clearance</w:t>
      </w:r>
      <w:bookmarkEnd w:id="9"/>
    </w:p>
    <w:p>
      <w:pPr>
        <w:pStyle w:val="Heading2"/>
      </w:pPr>
      <w:bookmarkStart w:id="10" w:name="_Toc11"/>
      <w:r>
        <w:t>Consents</w:t>
      </w:r>
      <w:bookmarkEnd w:id="10"/>
    </w:p>
    <w:p>
      <w:pPr/>
      <w:r>
        <w:rPr/>
        <w:t xml:space="preserve">Consent obtained from parents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obtained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3" w:name="_Toc14"/>
      <w:r>
        <w:t>URL</w:t>
      </w:r>
      <w:bookmarkEnd w:id="13"/>
    </w:p>
    <w:p>
      <w:pPr/>
      <w:r>
        <w:rPr/>
        <w:t xml:space="preserve">https://cyberpsychology.eu/article/download/10694/9579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6"/>
      <w:r>
        <w:t>Goals</w:t>
      </w:r>
      <w:bookmarkEnd w:id="15"/>
    </w:p>
    <w:p>
      <w:pPr/>
      <w:r>
        <w:rPr/>
        <w:t xml:space="preserve">It's an investigation about the role of media both for school and for youngsters' personal life.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2024-05-17T12:13:20+00:00</dcterms:created>
  <dcterms:modified xsi:type="dcterms:W3CDTF">2024-05-17T12:13:20+00:00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