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Guiding Young Children’s Digital Media Use: SES-Differences in Mediation Concerns and Competence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2015</w:t></w:r></w:p><w:p><w:pPr><w:pStyle w:val="Heading2"/></w:pPr><w:bookmarkStart w:id="3" w:name="_Toc4"/><w:r><w:t>Scope</w:t></w:r><w:bookmarkEnd w:id="3"/></w:p><w:p><w:pPr/><w:r><w:rPr/><w:t xml:space="preserve">National</w:t></w:r></w:p><w:p><w:pPr><w:pStyle w:val="Heading2"/></w:pPr><w:bookmarkStart w:id="4" w:name="_Toc5"/><w:r><w:t>Countries</w:t></w:r><w:bookmarkEnd w:id="4"/></w:p><w:p><w:pPr/><w:r><w:rPr/><w:t xml:space="preserve">Netherlands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Survey</w:t></w:r></w:p><w:p><w:pPr><w:pStyle w:val="Heading2"/></w:pPr><w:bookmarkStart w:id="7" w:name="_Toc8"/><w:r><w:t>Researched Groups</w:t></w:r><w:bookmarkEnd w:id="7"/></w:p><w:p><w:pPr/><w:r><w:rPr/><w:t xml:space="preserve">Parents</w:t></w:r></w:p><w:p><w:pPr><w:pStyle w:val="Heading2"/></w:pPr><w:bookmarkStart w:id="8" w:name="_Toc9"/><w:r><w:t>Children Ages</w:t></w:r><w:bookmarkEnd w:id="8"/></w:p><w:p><w:pPr><w:pStyle w:val="Heading2"/></w:pPr><w:bookmarkStart w:id="9" w:name="_Toc10"/><w:r><w:t>Has Formal Ethical Clearance</w:t></w:r><w:bookmarkEnd w:id="9"/></w:p><w:p><w:pPr><w:pStyle w:val="Heading2"/></w:pPr><w:bookmarkStart w:id="10" w:name="_Toc11"/><w:r><w:t>Consents</w:t></w:r><w:bookmarkEnd w:id="10"/></w:p><w:p><w:pPr/><w:r><w:rPr/><w:t xml:space="preserve">Consent obtained from parents</w:t></w:r></w:p><w:p><w:pPr><w:pStyle w:val="Heading2"/></w:pPr><w:bookmarkStart w:id="11" w:name="_Toc12"/><w:r><w:t>Ethics</w:t></w:r><w:bookmarkEnd w:id="11"/></w:p><w:p><w:pPr/><w:r><w:rPr/><w:t xml:space="preserve">Ethical considerations and/or protocol mentioned in the research design</w:t></w:r></w:p><w:p><w:pPr><w:pStyle w:val="Heading2"/></w:pPr><w:bookmarkStart w:id="12" w:name="_Toc13"/><w:r><w:t>URL</w:t></w:r><w:bookmarkEnd w:id="12"/></w:p><w:p><w:pPr/><w:r><w:rPr/><w:t xml:space="preserve">https://link-springer-com.proxy.library.uu.nl/content/pdf/10.1007/s10826-018-1018-3.pdf</w:t></w:r></w:p><w:p><w:pPr><w:pStyle w:val="Heading2"/></w:pPr><w:bookmarkStart w:id="13" w:name="_Toc14"/><w:r><w:t>Data Set Availability</w:t></w:r><w:bookmarkEnd w:id="13"/></w:p><w:p><w:pPr/><w:r><w:rPr/><w:t xml:space="preserve">Not mentioned</w:t></w:r></w:p><w:p><w:pPr><w:pStyle w:val="Heading1"/></w:pPr><w:bookmarkStart w:id="14" w:name="_Toc15"/><w:r><w:t>Goals</w:t></w:r><w:bookmarkEnd w:id="14"/></w:p><w:p><w:pPr/><w:r><w:rPr/><w:t xml:space="preserve">"The main foci of the present study are the extent to which parents experience concerns about
their daily mediation (RQ1) and the ease/difficulty with which parents apply parental mediation on young children’s media use (RQ2)" (Nikken & Opree, 2018, p. 1847)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05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2025-11-05T03:37:58+00:00</dcterms:created>
  <dcterms:modified xsi:type="dcterms:W3CDTF">2025-11-05T03:37:58+00:00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