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Implications of low or high media use among parents for young children’s media use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Netherlands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Parents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Informed Consent</w:t>
      </w:r>
      <w:bookmarkEnd w:id="9"/>
    </w:p>
    <w:p>
      <w:pPr/>
      <w:r>
        <w:rPr/>
        <w:t xml:space="preserve">Consent not mentioned</w:t>
      </w:r>
    </w:p>
    <w:p>
      <w:pPr>
        <w:pStyle w:val="Heading2"/>
      </w:pPr>
      <w:bookmarkStart w:id="10" w:name="_Toc11"/>
      <w:r>
        <w:t>Ethics</w:t>
      </w:r>
      <w:bookmarkEnd w:id="10"/>
    </w:p>
    <w:p>
      <w:pPr/>
      <w:r>
        <w:rPr/>
        <w:t xml:space="preserve">Ethical considerations not mentioned</w:t>
      </w:r>
    </w:p>
    <w:p>
      <w:pPr>
        <w:pStyle w:val="Heading2"/>
      </w:pPr>
      <w:bookmarkStart w:id="11" w:name="_Toc12"/>
      <w:r>
        <w:t>URL</w:t>
      </w:r>
      <w:bookmarkEnd w:id="11"/>
    </w:p>
    <w:p>
      <w:pPr/>
      <w:r>
        <w:rPr/>
        <w:t xml:space="preserve">https://cyberpsychology.eu/article/download/8558/7709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"I investigated a) the congruence between the time that parents and children spend on various media; b) how several parent, child and household characteristics vary among four family types: low, moderate, high, and very high media consumers; and c) which characteristics most strongly differentiate these four family types." (Nikken, 2017, p. 1)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05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2025-11-05T03:30:27+00:00</dcterms:created>
  <dcterms:modified xsi:type="dcterms:W3CDTF">2025-11-05T03:30:27+00:00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