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Developing scales to measure parental mediation of young children's internet use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Netherlands</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2-12 years</w:t>
      </w:r>
    </w:p>
    <w:p>
      <w:pPr>
        <w:pStyle w:val="Heading2"/>
      </w:pPr>
      <w:bookmarkStart w:id="10" w:name="_Toc11"/>
      <w:r>
        <w:t>Informed Consent</w:t>
      </w:r>
      <w:bookmarkEnd w:id="10"/>
    </w:p>
    <w:p>
      <w:pPr/>
      <w:r>
        <w:rPr/>
        <w:t xml:space="preserve">Consent not mentioned</w:t>
      </w:r>
    </w:p>
    <w:p>
      <w:pPr>
        <w:pStyle w:val="Heading2"/>
      </w:pPr>
      <w:bookmarkStart w:id="11" w:name="_Toc12"/>
      <w:r>
        <w:t>Ethics</w:t>
      </w:r>
      <w:bookmarkEnd w:id="11"/>
    </w:p>
    <w:p>
      <w:pPr/>
      <w:r>
        <w:rPr/>
        <w:t xml:space="preserve">Ethical considerations not mentioned</w:t>
      </w:r>
    </w:p>
    <w:p>
      <w:pPr>
        <w:pStyle w:val="Heading2"/>
      </w:pPr>
      <w:bookmarkStart w:id="12" w:name="_Toc13"/>
      <w:r>
        <w:t>URL</w:t>
      </w:r>
      <w:bookmarkEnd w:id="12"/>
    </w:p>
    <w:p>
      <w:pPr/>
      <w:r>
        <w:rPr/>
        <w:t xml:space="preserve">https://www-tandfonline-com.proxy.library.uu.nl/doi/pdf/10.1080/17439884.2013.782038?needAccess=true</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RQ1: Which types of mediation do parents practice when guiding young children’s internet use?
RQ2: How do parents’ guidance practices relate to their perceptions of online risks and positive influences of the internet on children?
RQ3: Do internet mediation practices differ between parents with regard to their own and their children’s demographics, their use and knowledge of the internet, and the place and number of computers in the house?
RQ4: How are parents’ guidance practices related to the types of content that children access on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2025-10-15T20:43:20+00:00</dcterms:created>
  <dcterms:modified xsi:type="dcterms:W3CDTF">2025-10-15T20:43:20+00:00</dcterms:modified>
</cp:coreProperties>
</file>

<file path=docProps/custom.xml><?xml version="1.0" encoding="utf-8"?>
<Properties xmlns="http://schemas.openxmlformats.org/officeDocument/2006/custom-properties" xmlns:vt="http://schemas.openxmlformats.org/officeDocument/2006/docPropsVTypes"/>
</file>