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Povezanost igranja nasilnih video-igrica i vršnjačkog nasilja kod adolescenata u Srbiji</w:t></w:r></w:p><w:p><w:pPr><w:pStyle w:val="Title"/></w:pPr><w:r><w:t>Engl. transl.: The correlation between playing violent video games and bullying among adolescents in Serbia</w:t></w:r></w:p><w:p><w:pPr><w:pStyle w:val="Heading1"/></w:pPr><w:bookmarkStart w:id="1" w:name="_Toc3"/><w:r><w:t>Details</w:t></w:r><w:bookmarkEnd w:id="1"/></w:p><w:p><w:pPr><w:pStyle w:val="Heading2"/></w:pPr><w:bookmarkStart w:id="2" w:name="_Toc4"/><w:r><w:t>Year</w:t></w:r><w:bookmarkEnd w:id="2"/></w:p><w:p><w:pPr/><w:r><w:rPr/><w:t xml:space="preserve">Not reported</w:t></w:r></w:p><w:p><w:pPr><w:pStyle w:val="Heading2"/></w:pPr><w:bookmarkStart w:id="3" w:name="_Toc5"/><w:r><w:t>Scope</w:t></w:r><w:bookmarkEnd w:id="3"/></w:p><w:p><w:pPr/><w:r><w:rPr/><w:t xml:space="preserve">National</w:t></w:r></w:p><w:p><w:pPr><w:pStyle w:val="Heading2"/></w:pPr><w:bookmarkStart w:id="4" w:name="_Toc6"/><w:r><w:t>Countries</w:t></w:r><w:bookmarkEnd w:id="4"/></w:p><w:p><w:pPr/><w:r><w:rPr/><w:t xml:space="preserve">Serbia</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12-18</w:t></w:r></w:p><w:p><w:pPr><w:pStyle w:val="Heading2"/></w:pPr><w:bookmarkStart w:id="10" w:name="_Toc12"/><w:r><w:t>Informed Consent</w:t></w:r><w:bookmarkEnd w:id="10"/></w:p><w:p><w:pPr/><w:r><w:rPr/><w:t xml:space="preserve">Consent not mentioned</w:t></w:r></w:p><w:p><w:pPr><w:pStyle w:val="Heading2"/></w:pPr><w:bookmarkStart w:id="11" w:name="_Toc13"/><w:r><w:t>URL</w:t></w:r><w:bookmarkEnd w:id="11"/></w:p><w:p><w:pPr/><w:r><w:rPr/><w:t xml:space="preserve">https://scindeks.ceon.rs/article.aspx?artid=0352-73791302191J</w:t></w:r></w:p><w:p><w:pPr><w:pStyle w:val="Heading2"/></w:pPr><w:bookmarkStart w:id="12" w:name="_Toc14"/><w:r><w:t>Data Set Availability</w:t></w:r><w:bookmarkEnd w:id="12"/></w:p><w:p><w:pPr/><w:r><w:rPr/><w:t xml:space="preserve">Not mentioned</w:t></w:r></w:p><w:p><w:pPr><w:pStyle w:val="Heading1"/></w:pPr><w:bookmarkStart w:id="13" w:name="_Toc15"/><w:r><w:t>Goals</w:t></w:r><w:bookmarkEnd w:id="13"/></w:p><w:p><w:pPr/><w:r><w:rPr/><w:t xml:space="preserve">"The aim of this study was to determine the frequency of playing video games among Serbian adolescents, the video game violence and the quality of parental control. We wanted to relate the frequency of playing, the video game violence, the bullying behaviour in schools, and GPA." (Jevtić & Savić, 2013, p. 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2025-10-14T04:24:01+00:00</dcterms:created>
  <dcterms:modified xsi:type="dcterms:W3CDTF">2025-10-14T04:24:01+00:00</dcterms:modified>
</cp:coreProperties>
</file>

<file path=docProps/custom.xml><?xml version="1.0" encoding="utf-8"?>
<Properties xmlns="http://schemas.openxmlformats.org/officeDocument/2006/custom-properties" xmlns:vt="http://schemas.openxmlformats.org/officeDocument/2006/docPropsVTypes"/>
</file>