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Unapređivanje kvaliteta i dostupnosti obrazovanja u procesima modernizacije Srbije</w:t></w:r></w:p><w:p><w:pPr><w:pStyle w:val="Title"/></w:pPr><w:r><w:t>Engl. transl.: Improving the quality and accessibility of education in the processes of modernization of Serbia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Serbia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11-15</w:t></w:r></w:p><w:p><w:pPr><w:pStyle w:val="Heading2"/></w:pPr><w:bookmarkStart w:id="10" w:name="_Toc12"/><w:r><w:t>Funder</w:t></w:r><w:bookmarkEnd w:id="10"/></w:p><w:p><w:pPr/><w:r><w:rPr/><w:t xml:space="preserve">Ministry of Education, Science and Technological Development of the Republic of Serbia</w:t></w:r></w:p><w:p><w:pPr><w:pStyle w:val="Heading2"/></w:pPr><w:bookmarkStart w:id="11" w:name="_Toc13"/><w:r><w:t>Funder Types</w:t></w:r><w:bookmarkEnd w:id="11"/></w:p><w:p><w:pPr/><w:r><w:rPr/><w:t xml:space="preserve">National Government / Ministry</w:t></w:r></w:p><w:p><w:pPr><w:pStyle w:val="Heading2"/></w:pPr><w:bookmarkStart w:id="12" w:name="_Toc14"/><w:r><w:t>Informed Consent</w:t></w:r><w:bookmarkEnd w:id="12"/></w:p><w:p><w:pPr/><w:r><w:rPr/><w:t xml:space="preserve">Consent not mentioned</w:t></w:r></w:p><w:p><w:pPr><w:pStyle w:val="Heading2"/></w:pPr><w:bookmarkStart w:id="13" w:name="_Toc15"/><w:r><w:t>Data Set Availability</w:t></w:r><w:bookmarkEnd w:id="13"/></w:p><w:p><w:pPr/><w:r><w:rPr/><w:t xml:space="preserve">Not mentioned</w:t></w:r></w:p><w:p><w:pPr><w:pStyle w:val="Heading1"/></w:pPr><w:bookmarkStart w:id="14" w:name="_Toc16"/><w:r><w:t>Goals</w:t></w:r><w:bookmarkEnd w:id="14"/></w:p><w:p><w:pPr/><w:r><w:rPr/><w:t xml:space="preserve">"The aim of this study was to examine, on non-clinical population of younger adolescents, the factor structure of the Internet Addiction
Test – IAT, as one of the oldest and most widely used instruments in this field." (Popović-Ćitić & Marković, 2013, p. 200)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2025-10-22T11:41:12+00:00</dcterms:created>
  <dcterms:modified xsi:type="dcterms:W3CDTF">2025-10-22T11:41:12+00:00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