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DIGITAL AND ONLINE LEARNING IN VOCATIONAL EDUCATION AND TRAINING IN SERBIA A CASE STUDY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2015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Serbia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Case study</w:t></w:r></w:p><w:p><w:pPr><w:pStyle w:val="Heading2"/></w:pPr><w:bookmarkStart w:id="7" w:name="_Toc8"/><w:r><w:t>Researched Groups</w:t></w:r><w:bookmarkEnd w:id="7"/></w:p><w:p><w:pPr><w:numPr><w:ilvl w:val="0"/><w:numId w:val="5"/></w:numPr></w:pPr><w:r><w:rPr/><w:t xml:space="preserve">Children</w:t></w:r></w:p><w:p><w:pPr><w:numPr><w:ilvl w:val="0"/><w:numId w:val="5"/></w:numPr></w:pPr><w:r><w:rPr/><w:t xml:space="preserve">Teachers / Educators</w:t></w:r></w:p><w:p><w:pPr><w:numPr><w:ilvl w:val="0"/><w:numId w:val="5"/></w:numPr></w:pPr><w:r><w:rPr/><w:t xml:space="preserve">Schools (Institutions)</w:t></w:r></w:p><w:p><w:pPr><w:numPr><w:ilvl w:val="0"/><w:numId w:val="5"/></w:numPr></w:pPr><w:r><w:rPr/><w:t xml:space="preserve">Policymakers and regulators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16-19 years old</w:t></w:r></w:p><w:p><w:pPr><w:pStyle w:val="Heading2"/></w:pPr><w:bookmarkStart w:id="10" w:name="_Toc11"/><w:r><w:t>Funder</w:t></w:r><w:bookmarkEnd w:id="10"/></w:p><w:p><w:pPr/><w:r><w:rPr/><w:t xml:space="preserve">European Training Foundation</w:t></w:r></w:p><w:p><w:pPr><w:pStyle w:val="Heading2"/></w:pPr><w:bookmarkStart w:id="11" w:name="_Toc12"/><w:r><w:t>Funder Types</w:t></w:r><w:bookmarkEnd w:id="11"/></w:p><w:p><w:pPr/><w:r><w:rPr/><w:t xml:space="preserve">European Union / Commission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"The study was commissioned by the ETF with the following specific objectives: (i) gather information and analyse DOL provision in VET; and (ii) provide a set of recommendations." (Brolpito, Lightfoot, Radišić, & Šćepanović, 2016, p. 4)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881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2025-11-05T00:36:49+00:00</dcterms:created>
  <dcterms:modified xsi:type="dcterms:W3CDTF">2025-11-05T00:36:49+00:00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