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Literacy Circulation: Adolescents and Flows of Knowledge about New Media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Data Set Availability</w:t>
      </w:r>
      <w:bookmarkEnd w:id="9"/>
    </w:p>
    <w:p>
      <w:pPr/>
      <w:r>
        <w:rPr/>
        <w:t xml:space="preserve">Not mentioned</w:t>
      </w:r>
    </w:p>
    <w:p>
      <w:pPr>
        <w:pStyle w:val="Heading1"/>
      </w:pPr>
      <w:bookmarkStart w:id="10" w:name="_Toc11"/>
      <w:r>
        <w:t>Goals</w:t>
      </w:r>
      <w:bookmarkEnd w:id="10"/>
    </w:p>
    <w:p>
      <w:pPr/>
      <w:r>
        <w:rPr/>
        <w:t xml:space="preserve">The aim of the study was to understand how digital literacy circulates
among young people and the reasons youths give for their choices and
practices. It discusses the output of empirical
research on digital skills to develop a typology of skills circulation
among young digital users.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2025-10-22T11:32:40+00:00</dcterms:created>
  <dcterms:modified xsi:type="dcterms:W3CDTF">2025-10-22T11:32:40+00:00</dcterms:modified>
</cp:coreProperties>
</file>

<file path=docProps/custom.xml><?xml version="1.0" encoding="utf-8"?>
<Properties xmlns="http://schemas.openxmlformats.org/officeDocument/2006/custom-properties" xmlns:vt="http://schemas.openxmlformats.org/officeDocument/2006/docPropsVTypes"/>
</file>