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 und Onlinewerbung. Erscheinungsformen von Werbung im Internet, ihre Wahrnehmung durch Kinder und ihr regulatorischer Kontext</w:t>
      </w:r>
    </w:p>
    <w:p>
      <w:pPr>
        <w:pStyle w:val="Title"/>
      </w:pPr>
      <w:r>
        <w:t>Engl. transl.: Children and Online Advertising Forms of Internet Advertising, Perception by Children and Regulatory Context</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Experimental / Quasi-experimental</w:t>
      </w:r>
    </w:p>
    <w:p>
      <w:pPr>
        <w:numPr>
          <w:ilvl w:val="0"/>
          <w:numId w:val="5"/>
        </w:numPr>
      </w:pPr>
      <w:r>
        <w:rPr/>
        <w:t xml:space="preserve">Focus group</w:t>
      </w:r>
    </w:p>
    <w:p>
      <w:pPr>
        <w:numPr>
          <w:ilvl w:val="0"/>
          <w:numId w:val="5"/>
        </w:numPr>
      </w:pPr>
      <w:r>
        <w:rPr/>
        <w:t xml:space="preserve">Interview</w:t>
      </w:r>
    </w:p>
    <w:p>
      <w:pPr>
        <w:numPr>
          <w:ilvl w:val="0"/>
          <w:numId w:val="5"/>
        </w:numPr>
      </w:pPr>
      <w:r>
        <w:rPr/>
        <w:t xml:space="preserve">Textual / documentary / content analysis</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r>
        <w:rPr/>
        <w:t xml:space="preserve">Kids (6-10 Years old)</w:t>
      </w:r>
    </w:p>
    <w:p>
      <w:pPr>
        <w:pStyle w:val="Heading2"/>
      </w:pPr>
      <w:bookmarkStart w:id="9" w:name="_Toc11"/>
      <w:r>
        <w:t>Funder</w:t>
      </w:r>
      <w:bookmarkEnd w:id="9"/>
    </w:p>
    <w:p>
      <w:pPr/>
      <w:r>
        <w:rPr/>
        <w:t xml:space="preserve">State Media Authority of North Rhine-Westphalia (LfM); Federal Ministry of Family, Senior Citizens, Women and Youth (BMFSFJ)</w:t>
      </w:r>
    </w:p>
    <w:p>
      <w:pPr>
        <w:pStyle w:val="Heading2"/>
      </w:pPr>
      <w:bookmarkStart w:id="10" w:name="_Toc12"/>
      <w:r>
        <w:t>Funder Types</w:t>
      </w:r>
      <w:bookmarkEnd w:id="10"/>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https://leibniz-hbi.de/en/projects/children-and-online-advertising</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study aimed to examine the current advertising practice on 100
websites that children referred to as their favourite online presences, to analyse how children
deal with online advertising and assess the advertising regulations in view of the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6A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2025-10-30T16:23:19+00:00</dcterms:created>
  <dcterms:modified xsi:type="dcterms:W3CDTF">2025-10-30T16:23:19+00:00</dcterms:modified>
</cp:coreProperties>
</file>

<file path=docProps/custom.xml><?xml version="1.0" encoding="utf-8"?>
<Properties xmlns="http://schemas.openxmlformats.org/officeDocument/2006/custom-properties" xmlns:vt="http://schemas.openxmlformats.org/officeDocument/2006/docPropsVTypes"/>
</file>