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Las redes sociales. Usos y percepción del riesgo en el marco internacional</w:t>
      </w:r>
    </w:p>
    <w:p>
      <w:pPr>
        <w:pStyle w:val="Title"/>
      </w:pPr>
      <w:r>
        <w:t>Engl. transl.: Social Networks. Uses and perception of risk in the international framework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8" w:name="_Toc10"/>
      <w:r>
        <w:t>Other Researched Group</w:t>
      </w:r>
      <w:bookmarkEnd w:id="8"/>
    </w:p>
    <w:p>
      <w:pPr/>
      <w:r>
        <w:rPr/>
        <w:t xml:space="preserve">adults-non parents of the those children in the sample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2"/>
      <w:r>
        <w:t>Other Childrens Age Group</w:t>
      </w:r>
      <w:bookmarkEnd w:id="10"/>
    </w:p>
    <w:p>
      <w:pPr/>
      <w:r>
        <w:rPr/>
        <w:t xml:space="preserve">9-16 years old</w:t>
      </w:r>
    </w:p>
    <w:p>
      <w:pPr>
        <w:pStyle w:val="Heading2"/>
      </w:pPr>
      <w:bookmarkStart w:id="11" w:name="_Toc13"/>
      <w:r>
        <w:t>Funder</w:t>
      </w:r>
      <w:bookmarkEnd w:id="11"/>
    </w:p>
    <w:p>
      <w:pPr/>
      <w:r>
        <w:rPr/>
        <w:t xml:space="preserve">University of the Basque Country</w:t>
      </w:r>
    </w:p>
    <w:p>
      <w:pPr>
        <w:pStyle w:val="Heading2"/>
      </w:pPr>
      <w:bookmarkStart w:id="12" w:name="_Toc14"/>
      <w:r>
        <w:t>Funder Types</w:t>
      </w:r>
      <w:bookmarkEnd w:id="12"/>
    </w:p>
    <w:p>
      <w:pPr/>
      <w:r>
        <w:rPr/>
        <w:t xml:space="preserve">University</w:t>
      </w:r>
    </w:p>
    <w:p>
      <w:pPr>
        <w:pStyle w:val="Heading2"/>
      </w:pPr>
      <w:bookmarkStart w:id="13" w:name="_Toc15"/>
      <w:r>
        <w:t>Has Formal Ethical Clearance</w:t>
      </w:r>
      <w:bookmarkEnd w:id="13"/>
    </w:p>
    <w:p>
      <w:pPr>
        <w:pStyle w:val="Heading2"/>
      </w:pPr>
      <w:bookmarkStart w:id="14" w:name="_Toc16"/>
      <w:r>
        <w:t>Consents</w:t>
      </w:r>
      <w:bookmarkEnd w:id="14"/>
    </w:p>
    <w:p>
      <w:pPr>
        <w:pStyle w:val="Heading2"/>
      </w:pPr>
      <w:bookmarkStart w:id="15" w:name="_Toc17"/>
      <w:r>
        <w:t>Informed Consent</w:t>
      </w:r>
      <w:bookmarkEnd w:id="15"/>
    </w:p>
    <w:p>
      <w:pPr/>
      <w:r>
        <w:rPr/>
        <w:t xml:space="preserve">Consent obtained</w:t>
      </w:r>
    </w:p>
    <w:p>
      <w:pPr>
        <w:pStyle w:val="Heading2"/>
      </w:pPr>
      <w:bookmarkStart w:id="16" w:name="_Toc18"/>
      <w:r>
        <w:t>Ethics</w:t>
      </w:r>
      <w:bookmarkEnd w:id="16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7" w:name="_Toc19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20"/>
      <w:r>
        <w:t>Goals</w:t>
      </w:r>
      <w:bookmarkEnd w:id="18"/>
    </w:p>
    <w:p>
      <w:pPr/>
      <w:r>
        <w:rPr/>
        <w:t xml:space="preserve">The main goal of this study is to discover adolescents’ perceptions of digital technology use and, in turn, to compare this perception with that of adults (parents and other adults).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66B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2025-10-30T00:14:17+00:00</dcterms:created>
  <dcterms:modified xsi:type="dcterms:W3CDTF">2025-10-30T00:14:17+00:00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