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YouNet 2013 Facebook survey, YouNet 2013 YLE Finland Survey</w:t>
      </w:r>
    </w:p>
    <w:p>
      <w:pPr>
        <w:pStyle w:val="Title"/>
      </w:pPr>
      <w:r>
        <w:t>Engl. transl.: YouNet 2013 Facebook survey, YouNet 2013 YLE Finland Survey</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Finland</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Individuals (whole population, children included)</w:t>
      </w:r>
    </w:p>
    <w:p>
      <w:pPr>
        <w:pStyle w:val="Heading2"/>
      </w:pPr>
      <w:bookmarkStart w:id="8" w:name="_Toc10"/>
      <w:r>
        <w:t>Children Ages</w:t>
      </w:r>
      <w:bookmarkEnd w:id="8"/>
    </w:p>
    <w:p>
      <w:pPr>
        <w:pStyle w:val="Heading2"/>
      </w:pPr>
      <w:bookmarkStart w:id="9" w:name="_Toc11"/>
      <w:r>
        <w:t>Funder</w:t>
      </w:r>
      <w:bookmarkEnd w:id="9"/>
    </w:p>
    <w:p>
      <w:pPr/>
      <w:r>
        <w:rPr/>
        <w:t xml:space="preserve">Kone Foundation (2013–2016)</w:t>
      </w:r>
    </w:p>
    <w:p>
      <w:pPr>
        <w:pStyle w:val="Heading2"/>
      </w:pPr>
      <w:bookmarkStart w:id="10" w:name="_Toc12"/>
      <w:r>
        <w:t>Funder Types</w:t>
      </w:r>
      <w:bookmarkEnd w:id="10"/>
    </w:p>
    <w:p>
      <w:pPr/>
      <w:r>
        <w:rPr/>
        <w:t xml:space="preserve">Foundation</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Study examines why some young people are disquieted byonline hate more than others. Is disquietude by online hate content associated with worry about becoming targeted, previous offline victimization experiences, stronger negative emotions toward it and avoidance of online aggression?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2025-10-18T09:09:43+00:00</dcterms:created>
  <dcterms:modified xsi:type="dcterms:W3CDTF">2025-10-18T09:09:43+00:00</dcterms:modified>
</cp:coreProperties>
</file>

<file path=docProps/custom.xml><?xml version="1.0" encoding="utf-8"?>
<Properties xmlns="http://schemas.openxmlformats.org/officeDocument/2006/custom-properties" xmlns:vt="http://schemas.openxmlformats.org/officeDocument/2006/docPropsVTypes"/>
</file>