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14-25</w:t>
      </w:r>
    </w:p>
    <w:p>
      <w:pPr>
        <w:pStyle w:val="Heading2"/>
      </w:pPr>
      <w:bookmarkStart w:id="10" w:name="_Toc11"/>
      <w:r>
        <w:t>Funder</w:t>
      </w:r>
      <w:bookmarkEnd w:id="10"/>
    </w:p>
    <w:p>
      <w:pPr/>
      <w:r>
        <w:rPr/>
        <w:t xml:space="preserve">Fondo per gli Investimenti della Ricerca di Base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project "investigated the relationship between political participation and social media in
Europe from the viewpoint of both citizens and political actors, using surveys of adult population, interviews with parties’ campaign managers, interviews with young people." (Mascheroni, 2017, p. 4634).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379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2025-07-01T17:29:25+00:00</dcterms:created>
  <dcterms:modified xsi:type="dcterms:W3CDTF">2025-07-01T17:29:25+00:00</dcterms:modified>
</cp:coreProperties>
</file>

<file path=docProps/custom.xml><?xml version="1.0" encoding="utf-8"?>
<Properties xmlns="http://schemas.openxmlformats.org/officeDocument/2006/custom-properties" xmlns:vt="http://schemas.openxmlformats.org/officeDocument/2006/docPropsVTypes"/>
</file>