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Learning Networks</w:t></w:r></w:p><w:p><w:pPr><w:pStyle w:val="Heading1"/></w:pPr><w:bookmarkStart w:id="1" w:name="_Toc2"/><w:r><w:t>Details</w:t></w:r><w:bookmarkEnd w:id="1"/></w:p><w:p><w:pPr><w:pStyle w:val="Heading2"/></w:pPr><w:bookmarkStart w:id="2" w:name="_Toc3"/><w:r><w:t>Year</w:t></w:r><w:bookmarkEnd w:id="2"/></w:p><w:p><w:pPr/><w:r><w:rPr/><w:t xml:space="preserve">Not reported</w:t></w:r></w:p><w:p><w:pPr><w:pStyle w:val="Heading2"/></w:pPr><w:bookmarkStart w:id="3" w:name="_Toc4"/><w:r><w:t>Scope</w:t></w:r><w:bookmarkEnd w:id="3"/></w:p><w:p><w:pPr/><w:r><w:rPr/><w:t xml:space="preserve">National</w:t></w:r></w:p><w:p><w:pPr><w:pStyle w:val="Heading2"/></w:pPr><w:bookmarkStart w:id="4" w:name="_Toc5"/><w:r><w:t>Countries</w:t></w:r><w:bookmarkEnd w:id="4"/></w:p><w:p><w:pPr/><w:r><w:rPr/><w:t xml:space="preserve">Norway</w:t></w:r></w:p><w:p><w:pPr><w:pStyle w:val="Heading2"/></w:pPr><w:bookmarkStart w:id="5" w:name="_Toc6"/><w:r><w:t>Type</w:t></w:r><w:bookmarkEnd w:id="5"/></w:p><w:p><w:pPr/><w:r><w:rPr/><w:t xml:space="preserve">Empirical research – Mixed methods</w:t></w:r></w:p><w:p><w:pPr><w:pStyle w:val="Heading2"/></w:pPr><w:bookmarkStart w:id="6" w:name="_Toc7"/><w:r><w:t>Methodologies</w:t></w:r><w:bookmarkEnd w:id="6"/></w:p><w:p><w:pPr><w:pStyle w:val="Heading2"/></w:pPr><w:bookmarkStart w:id="7" w:name="_Toc8"/><w:r><w:t>Researched Groups</w:t></w:r><w:bookmarkEnd w:id="7"/></w:p><w:p><w:pPr/><w:r><w:rPr/><w:t xml:space="preserve">Children</w:t></w:r></w:p><w:p><w:pPr><w:pStyle w:val="Heading2"/></w:pPr><w:bookmarkStart w:id="8" w:name="_Toc9"/><w:r><w:t>Children Ages</w:t></w:r><w:bookmarkEnd w:id="8"/></w:p><w:p><w:pPr><w:pStyle w:val="Heading2"/></w:pPr><w:bookmarkStart w:id="9" w:name="_Toc10"/><w:r><w:t>Funder</w:t></w:r><w:bookmarkEnd w:id="9"/></w:p><w:p><w:pPr/><w:r><w:rPr/><w:t xml:space="preserve">Not specified</w:t></w:r></w:p><w:p><w:pPr><w:pStyle w:val="Heading2"/></w:pPr><w:bookmarkStart w:id="10" w:name="_Toc11"/><w:r><w:t>Consents</w:t></w:r><w:bookmarkEnd w:id="10"/></w:p><w:p><w:pPr/><w:r><w:rPr/><w:t xml:space="preserve">Other</w:t></w:r></w:p><w:p><w:pPr><w:pStyle w:val="Heading2"/></w:pPr><w:bookmarkStart w:id="11" w:name="_Toc12"/><w:r><w:t>Informed Consent</w:t></w:r><w:bookmarkEnd w:id="11"/></w:p><w:p><w:pPr/><w:r><w:rPr/><w:t xml:space="preserve">Consent not mentioned</w:t></w:r></w:p><w:p><w:pPr><w:pStyle w:val="Heading2"/></w:pPr><w:bookmarkStart w:id="12" w:name="_Toc13"/><w:r><w:t>Ethics</w:t></w:r><w:bookmarkEnd w:id="12"/></w:p><w:p><w:pPr/><w:r><w:rPr/><w:t xml:space="preserve">Ethical considerations not mentioned</w:t></w:r></w:p><w:p><w:pPr><w:pStyle w:val="Heading2"/></w:pPr><w:bookmarkStart w:id="13" w:name="_Toc14"/><w:r><w:t>Data Set Availability</w:t></w:r><w:bookmarkEnd w:id="13"/></w:p><w:p><w:pPr/><w:r><w:rPr/><w:t xml:space="preserve">Not mentioned</w:t></w:r></w:p><w:p><w:pPr><w:pStyle w:val="Heading1"/></w:pPr><w:bookmarkStart w:id="14" w:name="_Toc15"/><w:r><w:t>Goals</w:t></w:r><w:bookmarkEnd w:id="14"/></w:p><w:p><w:pPr/><w:r><w:rPr/><w:t xml:space="preserve">he methods were selected in order to gain access to the meaning-making of children in their use of computers, both at school and at home. The methods were also used to investigate how different digital practices at school appeared to this particular age group. Concerning leisure time, we did not have direct access to practices at home, but rather the ways in which these children made sense of their practices by talking to the researcher in personal interviews and with peer groups in focus group interviews (Wetherell, Taylor, & Yates, 2001). (Bjørgen and Erstad, 2015)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2025-11-04T21:43:38+00:00</dcterms:created>
  <dcterms:modified xsi:type="dcterms:W3CDTF">2025-11-04T21:43:38+00:00</dcterms:modified>
</cp:coreProperties>
</file>

<file path=docProps/custom.xml><?xml version="1.0" encoding="utf-8"?>
<Properties xmlns="http://schemas.openxmlformats.org/officeDocument/2006/custom-properties" xmlns:vt="http://schemas.openxmlformats.org/officeDocument/2006/docPropsVTypes"/>
</file>