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УПОТРЕБА ПАМЕТНИХ ТЕЛЕФОНА КАО ПОТЕНЦИЈАЛНИ МОДЕРАТОР ОДНОСА ВЕЗАНОСТИ ЗА ПРИЈАТЕЉЕ И СУБЈЕКТИВНОГ БЛАГОСТАЊА СРЕДЊОШКОЛАЦА</w:t></w:r></w:p><w:p><w:pPr><w:pStyle w:val="Title"/></w:pPr><w:r><w:t>Engl. transl.: Smartphone use as a potential moderator between attachment to friends and subjective well-being among high school students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2019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Serbia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18-19 yrs</w:t></w:r></w:p><w:p><w:pPr><w:pStyle w:val="Heading2"/></w:pPr><w:bookmarkStart w:id="10" w:name="_Toc12"/><w:r><w:t>Consents</w:t></w:r><w:bookmarkEnd w:id="10"/></w:p><w:p><w:pPr/><w:r><w:rPr/><w:t xml:space="preserve">Consent obtained from children</w:t></w:r></w:p><w:p><w:pPr><w:pStyle w:val="Heading2"/></w:pPr><w:bookmarkStart w:id="11" w:name="_Toc13"/><w:r><w:t>Informed Consent</w:t></w:r><w:bookmarkEnd w:id="11"/></w:p><w:p><w:pPr/><w:r><w:rPr/><w:t xml:space="preserve">Consent obtained</w:t></w:r></w:p><w:p><w:pPr><w:pStyle w:val="Heading2"/></w:pPr><w:bookmarkStart w:id="12" w:name="_Toc14"/><w:r><w:t>URL</w:t></w:r><w:bookmarkEnd w:id="12"/></w:p><w:p><w:pPr/><w:r><w:rPr/><w:t xml:space="preserve">https://www.researchgate.net/publication/348237333_Smartphone_use_as_a_potential_moderator_between_attachment_to_friends_and_subjective_well-being_among_high_school_students</w:t></w:r></w:p><w:p><w:pPr><w:pStyle w:val="Heading2"/></w:pPr><w:bookmarkStart w:id="13" w:name="_Toc15"/><w:r><w:t>Data Set Availability</w:t></w:r><w:bookmarkEnd w:id="13"/></w:p><w:p><w:pPr/><w:r><w:rPr/><w:t xml:space="preserve">Not mentioned</w:t></w:r></w:p><w:p><w:pPr><w:pStyle w:val="Heading1"/></w:pPr><w:bookmarkStart w:id="14" w:name="_Toc16"/><w:r><w:t>Goals</w:t></w:r><w:bookmarkEnd w:id="14"/></w:p><w:p><w:pPr/><w:r><w:rPr/><w:t xml:space="preserve">"This study analysed the direct linear connection between the variables, but the basic research question which could explain the discrepancy in the existing results is the following: does smartphone use (SPU) have a moderating role in the quality of interpersonal relationships, specifically the relationship between Attachment to friends and Subjective well-being (SWB)." (Opsenica Kostić, Nedeljković, & Roj Čauduri, 2020, p. 402)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2025-11-02T15:28:57+00:00</dcterms:created>
  <dcterms:modified xsi:type="dcterms:W3CDTF">2025-11-02T15:28:57+00:00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