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Online and Offline Digital Literacy Practices of Young Children - A review of the literature  (DigiLitEY)</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Italy</w:t>
      </w:r>
    </w:p>
    <w:p>
      <w:pPr>
        <w:numPr>
          <w:ilvl w:val="0"/>
          <w:numId w:val="5"/>
        </w:numPr>
      </w:pPr>
      <w:r>
        <w:rPr/>
        <w:t xml:space="preserve">United Kingdom</w:t>
      </w:r>
    </w:p>
    <w:p>
      <w:pPr>
        <w:numPr>
          <w:ilvl w:val="0"/>
          <w:numId w:val="5"/>
        </w:numPr>
      </w:pPr>
      <w:r>
        <w:rPr/>
        <w:t xml:space="preserve">Portugal</w:t>
      </w:r>
    </w:p>
    <w:p>
      <w:pPr>
        <w:numPr>
          <w:ilvl w:val="0"/>
          <w:numId w:val="5"/>
        </w:numPr>
      </w:pPr>
      <w:r>
        <w:rPr/>
        <w:t xml:space="preserve">Finland</w:t>
      </w:r>
    </w:p>
    <w:p>
      <w:pPr>
        <w:numPr>
          <w:ilvl w:val="0"/>
          <w:numId w:val="5"/>
        </w:numPr>
      </w:pPr>
      <w:r>
        <w:rPr/>
        <w:t xml:space="preserve">Austria</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Evidence map</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COST Action</w:t>
      </w:r>
    </w:p>
    <w:p>
      <w:pPr>
        <w:pStyle w:val="Heading2"/>
      </w:pPr>
      <w:bookmarkStart w:id="10" w:name="_Toc11"/>
      <w:r>
        <w:t>Funder Types</w:t>
      </w:r>
      <w:bookmarkEnd w:id="10"/>
    </w:p>
    <w:p>
      <w:pPr/>
      <w:r>
        <w:rPr/>
        <w:t xml:space="preserve">European Union / Commission</w:t>
      </w:r>
    </w:p>
    <w:p>
      <w:pPr>
        <w:pStyle w:val="Heading2"/>
      </w:pPr>
      <w:bookmarkStart w:id="11" w:name="_Toc12"/>
      <w:r>
        <w:t>Informed Consent</w:t>
      </w:r>
      <w:bookmarkEnd w:id="11"/>
    </w:p>
    <w:p>
      <w:pPr/>
      <w:r>
        <w:rPr/>
        <w:t xml:space="preserve">No consent needed</w:t>
      </w:r>
    </w:p>
    <w:p>
      <w:pPr>
        <w:pStyle w:val="Heading2"/>
      </w:pPr>
      <w:bookmarkStart w:id="12" w:name="_Toc13"/>
      <w:r>
        <w:t>URL</w:t>
      </w:r>
      <w:bookmarkEnd w:id="12"/>
    </w:p>
    <w:p>
      <w:pPr/>
      <w:r>
        <w:rPr/>
        <w:t xml:space="preserve">http://digilitey.eu/</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"In this review of literature, the online and offline domains as they pertain to young
children’s digital literacy practices are considered both separately and in relation to
each other." (Marsh et al., 2017, p.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DC5C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2025-11-02T16:11:45+00:00</dcterms:created>
  <dcterms:modified xsi:type="dcterms:W3CDTF">2025-11-02T16:11:45+00:00</dcterms:modified>
</cp:coreProperties>
</file>

<file path=docProps/custom.xml><?xml version="1.0" encoding="utf-8"?>
<Properties xmlns="http://schemas.openxmlformats.org/officeDocument/2006/custom-properties" xmlns:vt="http://schemas.openxmlformats.org/officeDocument/2006/docPropsVTypes"/>
</file>