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technologies in early childhood education– a frame analysis of preservice teachers’perceptions</w:t>
      </w:r>
    </w:p>
    <w:p>
      <w:pPr>
        <w:pStyle w:val="Title"/>
      </w:pPr>
      <w:r>
        <w:t>Engl. transl.: Digital technologies in early childhood education– a frame analysis of preservice teachers’perceptions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Finland</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Textual / documentary / content analysis</w:t>
      </w:r>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r>
        <w:rPr/>
        <w:t xml:space="preserve">Preschool (0-5 Years old)</w:t>
      </w:r>
    </w:p>
    <w:p>
      <w:pPr>
        <w:pStyle w:val="Heading2"/>
      </w:pPr>
      <w:bookmarkStart w:id="9" w:name="_Toc11"/>
      <w:r>
        <w:t>Funder</w:t>
      </w:r>
      <w:bookmarkEnd w:id="9"/>
    </w:p>
    <w:p>
      <w:pPr/>
      <w:r>
        <w:rPr/>
        <w:t xml:space="preserve">Jenny ja Antti Wihurin Rahasto</w:t>
      </w:r>
    </w:p>
    <w:p>
      <w:pPr>
        <w:pStyle w:val="Heading2"/>
      </w:pPr>
      <w:bookmarkStart w:id="10" w:name="_Toc12"/>
      <w:r>
        <w:t>Funder Types</w:t>
      </w:r>
      <w:bookmarkEnd w:id="10"/>
    </w:p>
    <w:p>
      <w:pPr/>
      <w:r>
        <w:rPr/>
        <w:t xml:space="preserve">Foundation</w:t>
      </w:r>
    </w:p>
    <w:p>
      <w:pPr>
        <w:pStyle w:val="Heading2"/>
      </w:pPr>
      <w:bookmarkStart w:id="11" w:name="_Toc13"/>
      <w:r>
        <w:t>Consents</w:t>
      </w:r>
      <w:bookmarkEnd w:id="11"/>
    </w:p>
    <w:p>
      <w:pPr/>
      <w:r>
        <w:rPr/>
        <w:t xml:space="preserve">Consent obtained from teachers / caretakers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To contribute to the theoretical grounding of early years technology integration research, and to explore the kinds of perceptions preservice teachershold in relation to technology integration when they start their initial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2025-11-03T03:57:52+00:00</dcterms:created>
  <dcterms:modified xsi:type="dcterms:W3CDTF">2025-11-03T03:57:52+00:00</dcterms:modified>
</cp:coreProperties>
</file>

<file path=docProps/custom.xml><?xml version="1.0" encoding="utf-8"?>
<Properties xmlns="http://schemas.openxmlformats.org/officeDocument/2006/custom-properties" xmlns:vt="http://schemas.openxmlformats.org/officeDocument/2006/docPropsVTypes"/>
</file>