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Problematic internet use among adolescents: Psychometric properties of the index of problematic online experiences (I-POE)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Serbia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Other</w:t></w:r></w:p><w:p><w:pPr><w:pStyle w:val="Heading2"/></w:pPr><w:bookmarkStart w:id="8" w:name="_Toc9"/><w:r><w:t>Other Researched Group</w:t></w:r><w:bookmarkEnd w:id="8"/></w:p><w:p><w:pPr/><w:r><w:rPr/><w:t xml:space="preserve">young adults</w:t></w:r></w:p><w:p><w:pPr><w:pStyle w:val="Heading2"/></w:pPr><w:bookmarkStart w:id="9" w:name="_Toc10"/><w:r><w:t>Children Ages</w:t></w:r><w:bookmarkEnd w:id="9"/></w:p><w:p><w:pPr/><w:r><w:rPr/><w:t xml:space="preserve">Other</w:t></w:r></w:p><w:p><w:pPr><w:pStyle w:val="Heading2"/></w:pPr><w:bookmarkStart w:id="10" w:name="_Toc11"/><w:r><w:t>Other Childrens Age Group</w:t></w:r><w:bookmarkEnd w:id="10"/></w:p><w:p><w:pPr/><w:r><w:rPr/><w:t xml:space="preserve">18-19 yrs</w:t></w:r></w:p><w:p><w:pPr><w:pStyle w:val="Heading2"/></w:pPr><w:bookmarkStart w:id="11" w:name="_Toc12"/><w:r><w:t>Consents</w:t></w:r><w:bookmarkEnd w:id="11"/></w:p><w:p><w:pPr/><w:r><w:rPr/><w:t xml:space="preserve">Consent obtained from children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URL</w:t></w:r><w:bookmarkEnd w:id="13"/></w:p><w:p><w:pPr/><w:r><w:rPr/><w:t xml:space="preserve">http://www.doiserbia.nb.rs/Article.aspx?id=1450-66371802207O#.YNxrFEyxWUk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"The basic goal of this study is to examine problematic online behavior by using the I-POE questionnaire on a sample of Serbian adolescents – to test
the psychometric properties of the I-POE." (Opsenica-Kostic, Pedović, & Panić, 2019, p. 211)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2025-11-02T20:59:39+00:00</dcterms:created>
  <dcterms:modified xsi:type="dcterms:W3CDTF">2025-11-02T20:59:39+00:00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