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ACT ON! Die Monitoringstudie – Medienanalyse</w:t>
      </w:r>
    </w:p>
    <w:p>
      <w:pPr>
        <w:pStyle w:val="Title"/>
      </w:pPr>
      <w:r>
        <w:t>Engl. transl.: ACT ON! Monitoring-Study – Media analysis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YouTubers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Bundesministerium für Familie, Senioren, Frauen und Jugend (BMFSFJ)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https://act-on.jff.de/die-monitoring-studie/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In previous surveys of the ACT ON! monitoring study, there were indications that 10- to 14-year-old adolescents orientate towards YouTube stars in many ways, without any indications of a critical examination of the admired Youtubers. A preparatory problem-oriented media analysis was carried out to be able to further pursue these indications. 
The problem-oriented media analysis pursued the following questions:
- To what extent do YouTube stars provide potential incentives and advice for running their own YouTube channels?
- To what extent do YouTube stars address their own handling of online risks, their role model function in this respect and to what extent do they point out online risks?
- Which statements and portrayals contain risks related to the age group of 10 to 14-year-olds that
(a) are capable of disorienting adolescents in their understanding of values and norms or
(b) have a dubious role model character for self-dramatisation or danger to self or others?
Besides, it was recorded which strategies the Youtubers use for audience retention and interaction with the young users. The analysis covered a limited, but relevant, selection. Exemplary representatives of the beauty/fashion/lifestyle, vlog, comedy and Let's Play genres relevant to the target group were included. (Gebel/Brüggen 2017, 1 [translated by the coder]).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B5B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2025-11-03T12:14:55+00:00</dcterms:created>
  <dcterms:modified xsi:type="dcterms:W3CDTF">2025-11-03T12:14:55+00:00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