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 Medien - Extremismus</w:t>
      </w:r>
    </w:p>
    <w:p>
      <w:pPr>
        <w:pStyle w:val="Title"/>
      </w:pPr>
      <w:r>
        <w:t>Engl. transl.: Youth - Media - Extremism</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Pre-adolescents (11-13 Years old)</w:t>
      </w:r>
    </w:p>
    <w:p>
      <w:pPr>
        <w:numPr>
          <w:ilvl w:val="0"/>
          <w:numId w:val="5"/>
        </w:numPr>
      </w:pPr>
      <w:r>
        <w:rPr/>
        <w:t xml:space="preserve">Young adults (19-24 Years old)</w:t>
      </w:r>
    </w:p>
    <w:p>
      <w:pPr>
        <w:pStyle w:val="Heading2"/>
      </w:pPr>
      <w:bookmarkStart w:id="9" w:name="_Toc11"/>
      <w:r>
        <w:t>Funder</w:t>
      </w:r>
      <w:bookmarkEnd w:id="9"/>
    </w:p>
    <w:p>
      <w:pPr/>
      <w:r>
        <w:rPr/>
        <w:t xml:space="preserve">Landesanstalt für Medien NRW (LfM)</w:t>
      </w:r>
    </w:p>
    <w:p>
      <w:pPr>
        <w:pStyle w:val="Heading2"/>
      </w:pPr>
      <w:bookmarkStart w:id="10" w:name="_Toc12"/>
      <w:r>
        <w:t>Funder Types</w:t>
      </w:r>
      <w:bookmarkEnd w:id="10"/>
    </w:p>
    <w:p>
      <w:pPr/>
      <w:r>
        <w:rPr/>
        <w:t xml:space="preserve">Regulator</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"Sub-study 1 consists of a representative survey of young people, the aim of which is to obtain a comprehensive overview of how often young people come into contact with extremist content, which channels play a role and how the contact can be explained. Building on the results of this quantitative survey, qualitative guided interviews were conducted with young people (sub-study 2). These interviews served on the one hand to validate the findings of the first sub-study, but on the other hand also to provide more detailed information on how young people perceive extremist content in concrete terms, i.e. whether they recognise extremist messages and how they evaluate them. Sub-study 3 is a controlled reception and impact study in which young people are confronted with veiled extremist content and questioned about it. The experimental design of this sub-study enables us to identify mechanisms of action that underlie the recognition and evaluation of such content." (cf. Reinemann et al. 2019, 64).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9B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2025-11-02T12:31:18+00:00</dcterms:created>
  <dcterms:modified xsi:type="dcterms:W3CDTF">2025-11-02T12:31:18+00:00</dcterms:modified>
</cp:coreProperties>
</file>

<file path=docProps/custom.xml><?xml version="1.0" encoding="utf-8"?>
<Properties xmlns="http://schemas.openxmlformats.org/officeDocument/2006/custom-properties" xmlns:vt="http://schemas.openxmlformats.org/officeDocument/2006/docPropsVTypes"/>
</file>