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Jugendmedienschutzindex: Der Umgang mit onlinebezogenen Risiken (pädagogisches Personal)</w:t>
      </w:r>
    </w:p>
    <w:p>
      <w:pPr>
        <w:pStyle w:val="Title"/>
      </w:pPr>
      <w:r>
        <w:t>Engl. transl.: Youth Media Protection Index: Dealing with online-related risks (educational staff)</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Teachers / Educators</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Informed Consent</w:t>
      </w:r>
      <w:bookmarkEnd w:id="9"/>
    </w:p>
    <w:p>
      <w:pPr/>
      <w:r>
        <w:rPr/>
        <w:t xml:space="preserve">Consent not mentioned</w:t>
      </w:r>
    </w:p>
    <w:p>
      <w:pPr>
        <w:pStyle w:val="Heading2"/>
      </w:pPr>
      <w:bookmarkStart w:id="10" w:name="_Toc12"/>
      <w:r>
        <w:t>Ethics</w:t>
      </w:r>
      <w:bookmarkEnd w:id="10"/>
    </w:p>
    <w:p>
      <w:pPr/>
      <w:r>
        <w:rPr/>
        <w:t xml:space="preserve">Ethical considerations not mentioned</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"The "Youth Media Protection Index" initiated and published by the Freiwillige Selbstkontrolle Multimedia-Diensteanbieter e.V. (FSM) provides an up-to-date overview of how youth media protection in the area of online media is anchored in everyday family and educational life. Legal regulations and technical measures for the protection of minors from harmful media can only be effective to the extent that they are perceived, accepted and implemented in the everyday activities of adolescents and their immediate social environment. Therefore, the "Youth Media Protection Index" examines three perspectives, each of which can be considered in a specific way as a target group of youth media protection: Parents, educational specialists and teachers as well as adolescents themselves. The "Youth Media Protection Index" shows how the protection of adolescents from negative online experiences is reflected in the concerns, attitudes, knowledge and actions of parents, educational professionals and teachers as well as adolescents. In this context, the measures provided for in the regulated protection of minors from harmful media are taken into account; in addition, other aspects are recorded that are relevant for the protection of minors from harmful media in the online area from the perspective of those affected. The study consists of two temporally separate but conceptually closely related components: a nationwide representative survey of parents and adolescents between the ages of 9 and 16 and an online survey of educational specialists and teachers in Bavaria, Hamburg and Schleswig-Holstein." (cf. Gebel et al. 2017, 14).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819D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2025-11-04T21:50:53+00:00</dcterms:created>
  <dcterms:modified xsi:type="dcterms:W3CDTF">2025-11-04T21:50:53+00:00</dcterms:modified>
</cp:coreProperties>
</file>

<file path=docProps/custom.xml><?xml version="1.0" encoding="utf-8"?>
<Properties xmlns="http://schemas.openxmlformats.org/officeDocument/2006/custom-properties" xmlns:vt="http://schemas.openxmlformats.org/officeDocument/2006/docPropsVTypes"/>
</file>