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ACT ON! Die Monitoringstudie 2018</w:t></w:r></w:p><w:p><w:pPr><w:pStyle w:val="Title"/></w:pPr><w:r><w:t>Engl. transl.: ACT ON! Monitoring-Study 2018</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Focus group</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Bundesministerium für Familie, Senioren, Frauen und Jugend (BMFSFJ)</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URL</w:t></w:r><w:bookmarkEnd w:id="13"/></w:p><w:p><w:pPr/><w:r><w:rPr/><w:t xml:space="preserve">https://act-on.jff.de/die-monitoring-studie/</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"The study focused on the following questions: 
-Which video platforms are popular with children?
-To what extent does the credibility of Youtubers play a role for children?
-To what extent do adolescents perceive online risks and how do they deal with them?
The selected results address the receptive and productive use of video platforms, aspects and criteria of the credibility of Youtubers and YouTube formats, the children's perception of risks on the YouTube platform as well as the countermeasures and coping strategies developed by the children."

(Oberlinner, Stecher, Gebel & Brüggen, 2020, p. 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2025-07-01T03:30:37+00:00</dcterms:created>
  <dcterms:modified xsi:type="dcterms:W3CDTF">2025-07-01T03:30:37+00:00</dcterms:modified>
</cp:coreProperties>
</file>

<file path=docProps/custom.xml><?xml version="1.0" encoding="utf-8"?>
<Properties xmlns="http://schemas.openxmlformats.org/officeDocument/2006/custom-properties" xmlns:vt="http://schemas.openxmlformats.org/officeDocument/2006/docPropsVTypes"/>
</file>