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ENABLE Project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Croatia</w:t>
      </w:r>
    </w:p>
    <w:p>
      <w:pPr>
        <w:numPr>
          <w:ilvl w:val="0"/>
          <w:numId w:val="5"/>
        </w:numPr>
      </w:pPr>
      <w:r>
        <w:rPr/>
        <w:t xml:space="preserve">Denmark</w:t>
      </w:r>
    </w:p>
    <w:p>
      <w:pPr>
        <w:numPr>
          <w:ilvl w:val="0"/>
          <w:numId w:val="5"/>
        </w:numPr>
      </w:pPr>
      <w:r>
        <w:rPr/>
        <w:t xml:space="preserve">Finland</w:t>
      </w:r>
    </w:p>
    <w:p>
      <w:pPr>
        <w:numPr>
          <w:ilvl w:val="0"/>
          <w:numId w:val="5"/>
        </w:numPr>
      </w:pPr>
      <w:r>
        <w:rPr/>
        <w:t xml:space="preserve">Greece</w:t>
      </w:r>
    </w:p>
    <w:p>
      <w:pPr>
        <w:numPr>
          <w:ilvl w:val="0"/>
          <w:numId w:val="5"/>
        </w:numPr>
      </w:pPr>
      <w:r>
        <w:rPr/>
        <w:t xml:space="preserve">Luxembourg</w:t>
      </w:r>
    </w:p>
    <w:p>
      <w:pPr>
        <w:numPr>
          <w:ilvl w:val="0"/>
          <w:numId w:val="5"/>
        </w:numPr>
      </w:pPr>
      <w:r>
        <w:rPr/>
        <w:t xml:space="preserve">United Kingdom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European Commission</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Other</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http://enable.eun.org/news</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ENABLE (European Network Against Bullying in Learning and Leisure Environments) aims to tackle bullying in a holistic way, helping young people exercise their fundamental rights in the home, school, class and community (i.e. peer group).
Using a unique approach that combines social and emotional learning (SEL) with Peer Support, the ENABLE team strives to provide school staff with the skills, knowledge and confidence that can help them establish an effective student Peer Support scheme in their schools and develop their students’ social and emotional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86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2025-10-19T02:28:49+00:00</dcterms:created>
  <dcterms:modified xsi:type="dcterms:W3CDTF">2025-10-19T02:28:49+00:00</dcterms:modified>
</cp:coreProperties>
</file>

<file path=docProps/custom.xml><?xml version="1.0" encoding="utf-8"?>
<Properties xmlns="http://schemas.openxmlformats.org/officeDocument/2006/custom-properties" xmlns:vt="http://schemas.openxmlformats.org/officeDocument/2006/docPropsVTypes"/>
</file>