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ENABLE Project</w:t>
      </w:r>
    </w:p>
    <w:p>
      <w:pPr>
        <w:pStyle w:val="Heading1"/>
      </w:pPr>
      <w:bookmarkStart w:id="1" w:name="_Toc2"/>
      <w:r>
        <w:t>Details</w:t>
      </w:r>
      <w:bookmarkEnd w:id="1"/>
    </w:p>
    <w:p>
      <w:pPr>
        <w:pStyle w:val="Heading2"/>
      </w:pPr>
      <w:bookmarkStart w:id="2" w:name="_Toc3"/>
      <w:r>
        <w:t>Year</w:t>
      </w:r>
      <w:bookmarkEnd w:id="2"/>
    </w:p>
    <w:p>
      <w:pPr/>
      <w:r>
        <w:rPr/>
        <w:t xml:space="preserve">2015</w:t>
      </w:r>
    </w:p>
    <w:p>
      <w:pPr>
        <w:pStyle w:val="Heading2"/>
      </w:pPr>
      <w:bookmarkStart w:id="3" w:name="_Toc4"/>
      <w:r>
        <w:t>Scope</w:t>
      </w:r>
      <w:bookmarkEnd w:id="3"/>
    </w:p>
    <w:p>
      <w:pPr/>
      <w:r>
        <w:rPr/>
        <w:t xml:space="preserve">Multinational</w:t>
      </w:r>
    </w:p>
    <w:p>
      <w:pPr>
        <w:pStyle w:val="Heading2"/>
      </w:pPr>
      <w:bookmarkStart w:id="4" w:name="_Toc5"/>
      <w:r>
        <w:t>Countries</w:t>
      </w:r>
      <w:bookmarkEnd w:id="4"/>
    </w:p>
    <w:p>
      <w:pPr>
        <w:numPr>
          <w:ilvl w:val="0"/>
          <w:numId w:val="5"/>
        </w:numPr>
      </w:pPr>
      <w:r>
        <w:rPr/>
        <w:t xml:space="preserve">Croatia</w:t>
      </w:r>
    </w:p>
    <w:p>
      <w:pPr>
        <w:numPr>
          <w:ilvl w:val="0"/>
          <w:numId w:val="5"/>
        </w:numPr>
      </w:pPr>
      <w:r>
        <w:rPr/>
        <w:t xml:space="preserve">Denmark</w:t>
      </w:r>
    </w:p>
    <w:p>
      <w:pPr>
        <w:numPr>
          <w:ilvl w:val="0"/>
          <w:numId w:val="5"/>
        </w:numPr>
      </w:pPr>
      <w:r>
        <w:rPr/>
        <w:t xml:space="preserve">Finland</w:t>
      </w:r>
    </w:p>
    <w:p>
      <w:pPr>
        <w:numPr>
          <w:ilvl w:val="0"/>
          <w:numId w:val="5"/>
        </w:numPr>
      </w:pPr>
      <w:r>
        <w:rPr/>
        <w:t xml:space="preserve">Greece</w:t>
      </w:r>
    </w:p>
    <w:p>
      <w:pPr>
        <w:numPr>
          <w:ilvl w:val="0"/>
          <w:numId w:val="5"/>
        </w:numPr>
      </w:pPr>
      <w:r>
        <w:rPr/>
        <w:t xml:space="preserve">Luxembourg</w:t>
      </w:r>
    </w:p>
    <w:p>
      <w:pPr>
        <w:numPr>
          <w:ilvl w:val="0"/>
          <w:numId w:val="5"/>
        </w:numPr>
      </w:pPr>
      <w:r>
        <w:rPr/>
        <w:t xml:space="preserve">United Kingdom</w:t>
      </w:r>
    </w:p>
    <w:p>
      <w:pPr>
        <w:pStyle w:val="Heading2"/>
      </w:pPr>
      <w:bookmarkStart w:id="5" w:name="_Toc6"/>
      <w:r>
        <w:t>Type</w:t>
      </w:r>
      <w:bookmarkEnd w:id="5"/>
    </w:p>
    <w:p>
      <w:pPr/>
      <w:r>
        <w:rPr/>
        <w:t xml:space="preserve">Empirical research – Quantitative</w:t>
      </w:r>
    </w:p>
    <w:p>
      <w:pPr>
        <w:pStyle w:val="Heading2"/>
      </w:pPr>
      <w:bookmarkStart w:id="6" w:name="_Toc7"/>
      <w:r>
        <w:t>Methodologies</w:t>
      </w:r>
      <w:bookmarkEnd w:id="6"/>
    </w:p>
    <w:p>
      <w:pPr/>
      <w:r>
        <w:rPr/>
        <w:t xml:space="preserve">Survey</w:t>
      </w:r>
    </w:p>
    <w:p>
      <w:pPr>
        <w:pStyle w:val="Heading2"/>
      </w:pPr>
      <w:bookmarkStart w:id="7" w:name="_Toc8"/>
      <w:r>
        <w:t>Researched Groups</w:t>
      </w:r>
      <w:bookmarkEnd w:id="7"/>
    </w:p>
    <w:p>
      <w:pPr/>
      <w:r>
        <w:rPr/>
        <w:t xml:space="preserve">Children</w:t>
      </w:r>
    </w:p>
    <w:p>
      <w:pPr>
        <w:pStyle w:val="Heading2"/>
      </w:pPr>
      <w:bookmarkStart w:id="8" w:name="_Toc9"/>
      <w:r>
        <w:t>Children Ages</w:t>
      </w:r>
      <w:bookmarkEnd w:id="8"/>
    </w:p>
    <w:p>
      <w:pPr>
        <w:numPr>
          <w:ilvl w:val="0"/>
          <w:numId w:val="5"/>
        </w:numPr>
      </w:pPr>
      <w:r>
        <w:rPr/>
        <w:t xml:space="preserve">Kids (6-10 Years old)</w:t>
      </w:r>
    </w:p>
    <w:p>
      <w:pPr>
        <w:numPr>
          <w:ilvl w:val="0"/>
          <w:numId w:val="5"/>
        </w:numPr>
      </w:pPr>
      <w:r>
        <w:rPr/>
        <w:t xml:space="preserve">Pre-adolescents (11-13 Years old)</w:t>
      </w:r>
    </w:p>
    <w:p>
      <w:pPr>
        <w:numPr>
          <w:ilvl w:val="0"/>
          <w:numId w:val="5"/>
        </w:numPr>
      </w:pPr>
      <w:r>
        <w:rPr/>
        <w:t xml:space="preserve">Adolescents (14-18 Years old)</w:t>
      </w:r>
    </w:p>
    <w:p>
      <w:pPr>
        <w:pStyle w:val="Heading2"/>
      </w:pPr>
      <w:bookmarkStart w:id="9" w:name="_Toc10"/>
      <w:r>
        <w:t>Funder</w:t>
      </w:r>
      <w:bookmarkEnd w:id="9"/>
    </w:p>
    <w:p>
      <w:pPr/>
      <w:r>
        <w:rPr/>
        <w:t xml:space="preserve">European Commission</w:t>
      </w:r>
    </w:p>
    <w:p>
      <w:pPr>
        <w:pStyle w:val="Heading2"/>
      </w:pPr>
      <w:bookmarkStart w:id="10" w:name="_Toc11"/>
      <w:r>
        <w:t>Funder Types</w:t>
      </w:r>
      <w:bookmarkEnd w:id="10"/>
    </w:p>
    <w:p>
      <w:pPr/>
      <w:r>
        <w:rPr/>
        <w:t xml:space="preserve">European Union / Commission</w:t>
      </w:r>
    </w:p>
    <w:p>
      <w:pPr>
        <w:pStyle w:val="Heading2"/>
      </w:pPr>
      <w:bookmarkStart w:id="11" w:name="_Toc12"/>
      <w:r>
        <w:t>Has Formal Ethical Clearance</w:t>
      </w:r>
      <w:bookmarkEnd w:id="11"/>
    </w:p>
    <w:p>
      <w:pPr>
        <w:pStyle w:val="Heading2"/>
      </w:pPr>
      <w:bookmarkStart w:id="12" w:name="_Toc13"/>
      <w:r>
        <w:t>Consents</w:t>
      </w:r>
      <w:bookmarkEnd w:id="12"/>
    </w:p>
    <w:p>
      <w:pPr/>
      <w:r>
        <w:rPr/>
        <w:t xml:space="preserve">Other</w:t>
      </w:r>
    </w:p>
    <w:p>
      <w:pPr>
        <w:pStyle w:val="Heading2"/>
      </w:pPr>
      <w:bookmarkStart w:id="13" w:name="_Toc14"/>
      <w:r>
        <w:t>Informed Consent</w:t>
      </w:r>
      <w:bookmarkEnd w:id="13"/>
    </w:p>
    <w:p>
      <w:pPr/>
      <w:r>
        <w:rPr/>
        <w:t xml:space="preserve">Consent not mentioned</w:t>
      </w:r>
    </w:p>
    <w:p>
      <w:pPr>
        <w:pStyle w:val="Heading2"/>
      </w:pPr>
      <w:bookmarkStart w:id="14" w:name="_Toc15"/>
      <w:r>
        <w:t>Ethics</w:t>
      </w:r>
      <w:bookmarkEnd w:id="14"/>
    </w:p>
    <w:p>
      <w:pPr/>
      <w:r>
        <w:rPr/>
        <w:t xml:space="preserve">Ethical considerations and/or protocol mentioned in the research design</w:t>
      </w:r>
    </w:p>
    <w:p>
      <w:pPr>
        <w:pStyle w:val="Heading2"/>
      </w:pPr>
      <w:bookmarkStart w:id="15" w:name="_Toc16"/>
      <w:r>
        <w:t>URL</w:t>
      </w:r>
      <w:bookmarkEnd w:id="15"/>
    </w:p>
    <w:p>
      <w:pPr/>
      <w:r>
        <w:rPr/>
        <w:t xml:space="preserve">http://enable.eun.org/news</w:t>
      </w:r>
    </w:p>
    <w:p>
      <w:pPr>
        <w:pStyle w:val="Heading2"/>
      </w:pPr>
      <w:bookmarkStart w:id="16" w:name="_Toc17"/>
      <w:r>
        <w:t>Data Set Availability</w:t>
      </w:r>
      <w:bookmarkEnd w:id="16"/>
    </w:p>
    <w:p>
      <w:pPr/>
      <w:r>
        <w:rPr/>
        <w:t xml:space="preserve">Not mentioned</w:t>
      </w:r>
    </w:p>
    <w:p>
      <w:pPr>
        <w:pStyle w:val="Heading1"/>
      </w:pPr>
      <w:bookmarkStart w:id="17" w:name="_Toc18"/>
      <w:r>
        <w:t>Goals</w:t>
      </w:r>
      <w:bookmarkEnd w:id="17"/>
    </w:p>
    <w:p>
      <w:pPr/>
      <w:r>
        <w:rPr/>
        <w:t xml:space="preserve">ENABLE (European Network Against Bullying in Learning and Leisure Environments) aims to tackle bullying in a holistic way, helping young people exercise their fundamental rights in the home, school, class and community (i.e. peer group).
Using a unique approach that combines social and emotional learning (SEL) with Peer Support, the ENABLE team strives to provide school staff with the skills, knowledge and confidence that can help them establish an effective student Peer Support scheme in their schools and develop their students’ social and emotional skills.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59329D8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2025-04-17T14:59:42+00:00</dcterms:created>
  <dcterms:modified xsi:type="dcterms:W3CDTF">2025-04-17T14:59:42+00:00</dcterms:modified>
</cp:coreProperties>
</file>

<file path=docProps/custom.xml><?xml version="1.0" encoding="utf-8"?>
<Properties xmlns="http://schemas.openxmlformats.org/officeDocument/2006/custom-properties" xmlns:vt="http://schemas.openxmlformats.org/officeDocument/2006/docPropsVTypes"/>
</file>