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Korzystanie z urządzeń mobilnych przez małe dzieci w Polsce</w:t>
      </w:r>
    </w:p>
    <w:p>
      <w:pPr>
        <w:pStyle w:val="Title"/>
      </w:pPr>
      <w:r>
        <w:t>Engl. transl.: The use of mobile devices by children in Poland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Fundacja Orange, Fundacja Dzieci Niczyje, Komisja Europejska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European Union / Commission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https://fdds.pl/_Resources/Persistent/6/c/8/d/6c8d4e101bc3495f4491c08ba9d9e53965fab438/Bak_Korzystanie_z_urzadzen_mobilnych_raport.pdf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Research sample: nationwide sample, parents of children aged 6 months to 6.5 years (N = 1011); Objective: to characterize and determine the intensity of the phenomenon of child use
from mobile devices. The research was carried out as part of the "Polish Safer Internet Center" project.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EC6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2025-11-03T16:43:02+00:00</dcterms:created>
  <dcterms:modified xsi:type="dcterms:W3CDTF">2025-11-03T16:43:02+00:00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