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Passage to Malta: The Health and Wellbeing of Foreign Children in Malta</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Malta</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Focus group</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5-15 years old</w:t>
      </w:r>
    </w:p>
    <w:p>
      <w:pPr>
        <w:pStyle w:val="Heading2"/>
      </w:pPr>
      <w:bookmarkStart w:id="10" w:name="_Toc11"/>
      <w:r>
        <w:t>Funder</w:t>
      </w:r>
      <w:bookmarkEnd w:id="10"/>
    </w:p>
    <w:p>
      <w:pPr/>
      <w:r>
        <w:rPr/>
        <w:t xml:space="preserve">Commissioner for Children</w:t>
      </w:r>
    </w:p>
    <w:p>
      <w:pPr>
        <w:pStyle w:val="Heading2"/>
      </w:pPr>
      <w:bookmarkStart w:id="11" w:name="_Toc12"/>
      <w:r>
        <w:t>Funder Types</w:t>
      </w:r>
      <w:bookmarkEnd w:id="11"/>
    </w:p>
    <w:p>
      <w:pPr/>
      <w:r>
        <w:rPr/>
        <w:t xml:space="preserve">National Government / Ministry</w:t>
      </w:r>
    </w:p>
    <w:p>
      <w:pPr>
        <w:pStyle w:val="Heading2"/>
      </w:pPr>
      <w:bookmarkStart w:id="12" w:name="_Toc13"/>
      <w:r>
        <w:t>Has Formal Ethical Clearance</w:t>
      </w:r>
      <w:bookmarkEnd w:id="12"/>
    </w:p>
    <w:p>
      <w:pPr>
        <w:pStyle w:val="Heading2"/>
      </w:pPr>
      <w:bookmarkStart w:id="13" w:name="_Toc14"/>
      <w:r>
        <w:t>Consents</w:t>
      </w:r>
      <w:bookmarkEnd w:id="13"/>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4" w:name="_Toc15"/>
      <w:r>
        <w:t>Informed Consent</w:t>
      </w:r>
      <w:bookmarkEnd w:id="14"/>
    </w:p>
    <w:p>
      <w:pPr/>
      <w:r>
        <w:rPr/>
        <w:t xml:space="preserve">Consent obtained</w:t>
      </w:r>
    </w:p>
    <w:p>
      <w:pPr>
        <w:pStyle w:val="Heading2"/>
      </w:pPr>
      <w:bookmarkStart w:id="15" w:name="_Toc16"/>
      <w:r>
        <w:t>Ethics</w:t>
      </w:r>
      <w:bookmarkEnd w:id="15"/>
    </w:p>
    <w:p>
      <w:pPr/>
      <w:r>
        <w:rPr/>
        <w:t xml:space="preserve">Ethical considerations and/or protocol mentioned in the research design</w:t>
      </w:r>
    </w:p>
    <w:p>
      <w:pPr>
        <w:pStyle w:val="Heading2"/>
      </w:pPr>
      <w:bookmarkStart w:id="16" w:name="_Toc17"/>
      <w:r>
        <w:t>URL</w:t>
      </w:r>
      <w:bookmarkEnd w:id="16"/>
    </w:p>
    <w:p>
      <w:pPr/>
      <w:r>
        <w:rPr/>
        <w:t xml:space="preserve">https://tfal.org.mt/en/Pages/default.aspx</w:t>
      </w:r>
    </w:p>
    <w:p>
      <w:pPr>
        <w:pStyle w:val="Heading2"/>
      </w:pPr>
      <w:bookmarkStart w:id="17" w:name="_Toc18"/>
      <w:r>
        <w:t>Data Set Availability</w:t>
      </w:r>
      <w:bookmarkEnd w:id="17"/>
    </w:p>
    <w:p>
      <w:pPr/>
      <w:r>
        <w:rPr/>
        <w:t xml:space="preserve">Not mentioned</w:t>
      </w:r>
    </w:p>
    <w:p>
      <w:pPr>
        <w:pStyle w:val="Heading1"/>
      </w:pPr>
      <w:bookmarkStart w:id="18" w:name="_Toc19"/>
      <w:r>
        <w:t>Goals</w:t>
      </w:r>
      <w:bookmarkEnd w:id="18"/>
    </w:p>
    <w:p>
      <w:pPr/>
      <w:r>
        <w:rPr/>
        <w:t xml:space="preserve">This was a qualitative study on children’s subjective wellbeing in various aspects of
their lives. Five focus groups with Primary and Secondary School foreign children
of various nationalities attending State Schools and Open Centres were held, with
data analysed thematically.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E89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2025-11-03T16:41:23+00:00</dcterms:created>
  <dcterms:modified xsi:type="dcterms:W3CDTF">2025-11-03T16:41:23+00:00</dcterms:modified>
</cp:coreProperties>
</file>

<file path=docProps/custom.xml><?xml version="1.0" encoding="utf-8"?>
<Properties xmlns="http://schemas.openxmlformats.org/officeDocument/2006/custom-properties" xmlns:vt="http://schemas.openxmlformats.org/officeDocument/2006/docPropsVTypes"/>
</file>