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ETwinning as a Motivational Tool in Learning Italian as a Second Language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Survey</w:t>
      </w:r>
    </w:p>
    <w:p>
      <w:pPr>
        <w:numPr>
          <w:ilvl w:val="0"/>
          <w:numId w:val="5"/>
        </w:numPr>
      </w:pPr>
      <w:r>
        <w:rPr/>
        <w:t xml:space="preserve">Other</w:t>
      </w:r>
    </w:p>
    <w:p>
      <w:pPr>
        <w:pStyle w:val="Heading2"/>
      </w:pPr>
      <w:bookmarkStart w:id="7" w:name="_Toc8"/>
      <w:r>
        <w:t>Other Methodology</w:t>
      </w:r>
      <w:bookmarkEnd w:id="7"/>
    </w:p>
    <w:p>
      <w:pPr/>
      <w:r>
        <w:rPr/>
        <w:t xml:space="preserve">Observation</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Pre-adolescents (11-13 Years old)</w:t>
      </w:r>
    </w:p>
    <w:p>
      <w:pPr>
        <w:pStyle w:val="Heading2"/>
      </w:pPr>
      <w:bookmarkStart w:id="10" w:name="_Toc11"/>
      <w:r>
        <w:t>Has Formal Ethical Clearance</w:t>
      </w:r>
      <w:bookmarkEnd w:id="10"/>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researcher "used eTwinning as a tool to increase motivation amongst [the] students who were learning Italian as a foreign language. By observing the students’ behaviour and looking at their work during the eTwinning sessions, [the researcher] got a clearer picture of the students’ level of motivation. By comparing the two questionnaires handed to the two separate groups of students who participated in the study [control and experimental group], [the researcher] could notice the differences and similarities between them before and after the eTwinning project. The teachers’ opinions gained by means of an interview enabled the possibility to see different experiences of other participants when using eTwinning in their teaching process. In this research, [the author] made use of five important indicators which helped [the researcher] to identify an increase in the students’ motivation to learn, thanks to the use of eTwinning." (Brincat, 2019; p. 32).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E0D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2025-11-03T16:44:38+00:00</dcterms:created>
  <dcterms:modified xsi:type="dcterms:W3CDTF">2025-11-03T16:44:38+00:00</dcterms:modified>
</cp:coreProperties>
</file>

<file path=docProps/custom.xml><?xml version="1.0" encoding="utf-8"?>
<Properties xmlns="http://schemas.openxmlformats.org/officeDocument/2006/custom-properties" xmlns:vt="http://schemas.openxmlformats.org/officeDocument/2006/docPropsVTypes"/>
</file>