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Growing up in Ireland</w:t>
      </w:r>
    </w:p>
    <w:p>
      <w:pPr>
        <w:pStyle w:val="Title"/>
      </w:pPr>
      <w:r>
        <w:t>Engl. transl.: Growing up in Ireland</w:t>
      </w:r>
    </w:p>
    <w:p>
      <w:pPr>
        <w:pStyle w:val="Heading1"/>
      </w:pPr>
      <w:bookmarkStart w:id="1" w:name="_Toc3"/>
      <w:r>
        <w:t>Details</w:t>
      </w:r>
      <w:bookmarkEnd w:id="1"/>
    </w:p>
    <w:p>
      <w:pPr>
        <w:pStyle w:val="Heading2"/>
      </w:pPr>
      <w:bookmarkStart w:id="2" w:name="_Toc4"/>
      <w:r>
        <w:t>Year</w:t>
      </w:r>
      <w:bookmarkEnd w:id="2"/>
    </w:p>
    <w:p>
      <w:pPr/>
      <w:r>
        <w:rPr/>
        <w:t xml:space="preserve">2016</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Ireland</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pStyle w:val="Heading2"/>
      </w:pPr>
      <w:bookmarkStart w:id="7" w:name="_Toc9"/>
      <w:r>
        <w:t>Researched Groups</w:t>
      </w:r>
      <w:bookmarkEnd w:id="7"/>
    </w:p>
    <w:p>
      <w:pPr>
        <w:pStyle w:val="Heading2"/>
      </w:pPr>
      <w:bookmarkStart w:id="8" w:name="_Toc10"/>
      <w:r>
        <w:t>Children Ages</w:t>
      </w:r>
      <w:bookmarkEnd w:id="8"/>
    </w:p>
    <w:p>
      <w:pPr>
        <w:numPr>
          <w:ilvl w:val="0"/>
          <w:numId w:val="5"/>
        </w:numPr>
      </w:pPr>
      <w:r>
        <w:rPr/>
        <w:t xml:space="preserve">All (0-18 years old)</w:t>
      </w:r>
    </w:p>
    <w:p>
      <w:pPr>
        <w:numPr>
          <w:ilvl w:val="0"/>
          <w:numId w:val="5"/>
        </w:numPr>
      </w:pPr>
      <w:r>
        <w:rPr/>
        <w:t xml:space="preserve">Preschool (0-5 Years old)</w:t>
      </w:r>
    </w:p>
    <w:p>
      <w:pPr>
        <w:numPr>
          <w:ilvl w:val="0"/>
          <w:numId w:val="5"/>
        </w:numPr>
      </w:pPr>
      <w:r>
        <w:rPr/>
        <w:t xml:space="preserve">Kids (6-10 Years old)</w:t>
      </w:r>
    </w:p>
    <w:p>
      <w:pPr>
        <w:numPr>
          <w:ilvl w:val="0"/>
          <w:numId w:val="5"/>
        </w:numPr>
      </w:pPr>
      <w:r>
        <w:rPr/>
        <w:t xml:space="preserve">Pre-adolescents (11-13 Years old)</w:t>
      </w:r>
    </w:p>
    <w:p>
      <w:pPr>
        <w:numPr>
          <w:ilvl w:val="0"/>
          <w:numId w:val="5"/>
        </w:numPr>
      </w:pPr>
      <w:r>
        <w:rPr/>
        <w:t xml:space="preserve">Adolescents (14-18 Years old)</w:t>
      </w:r>
    </w:p>
    <w:p>
      <w:pPr>
        <w:numPr>
          <w:ilvl w:val="0"/>
          <w:numId w:val="5"/>
        </w:numPr>
      </w:pPr>
      <w:r>
        <w:rPr/>
        <w:t xml:space="preserve">Young adults (19-24 Years old)</w:t>
      </w:r>
    </w:p>
    <w:p>
      <w:pPr>
        <w:pStyle w:val="Heading2"/>
      </w:pPr>
      <w:bookmarkStart w:id="9" w:name="_Toc11"/>
      <w:r>
        <w:t>Funder</w:t>
      </w:r>
      <w:bookmarkEnd w:id="9"/>
    </w:p>
    <w:p>
      <w:pPr/>
      <w:r>
        <w:rPr/>
        <w:t xml:space="preserve">Government funded</w:t>
      </w:r>
    </w:p>
    <w:p>
      <w:pPr>
        <w:pStyle w:val="Heading2"/>
      </w:pPr>
      <w:bookmarkStart w:id="10" w:name="_Toc12"/>
      <w:r>
        <w:t>Funder Types</w:t>
      </w:r>
      <w:bookmarkEnd w:id="10"/>
    </w:p>
    <w:p>
      <w:pPr/>
      <w:r>
        <w:rPr/>
        <w:t xml:space="preserve">National Government / Ministry</w:t>
      </w:r>
    </w:p>
    <w:p>
      <w:pPr>
        <w:pStyle w:val="Heading2"/>
      </w:pPr>
      <w:bookmarkStart w:id="11" w:name="_Toc13"/>
      <w:r>
        <w:t>Has Formal Ethical Clearance</w:t>
      </w:r>
      <w:bookmarkEnd w:id="11"/>
    </w:p>
    <w:p>
      <w:pPr>
        <w:pStyle w:val="Heading2"/>
      </w:pPr>
      <w:bookmarkStart w:id="12" w:name="_Toc14"/>
      <w:r>
        <w:t>Consents</w:t>
      </w:r>
      <w:bookmarkEnd w:id="12"/>
    </w:p>
    <w:p>
      <w:pPr/>
      <w:r>
        <w:rPr/>
        <w:t xml:space="preserve">Consent obtained from parents</w:t>
      </w:r>
    </w:p>
    <w:p>
      <w:pPr>
        <w:pStyle w:val="Heading2"/>
      </w:pPr>
      <w:bookmarkStart w:id="13" w:name="_Toc15"/>
      <w:r>
        <w:t>Informed Consent</w:t>
      </w:r>
      <w:bookmarkEnd w:id="13"/>
    </w:p>
    <w:p>
      <w:pPr/>
      <w:r>
        <w:rPr/>
        <w:t xml:space="preserve">Consent obtained</w:t>
      </w:r>
    </w:p>
    <w:p>
      <w:pPr>
        <w:pStyle w:val="Heading2"/>
      </w:pPr>
      <w:bookmarkStart w:id="14" w:name="_Toc16"/>
      <w:r>
        <w:t>Ethics</w:t>
      </w:r>
      <w:bookmarkEnd w:id="14"/>
    </w:p>
    <w:p>
      <w:pPr/>
      <w:r>
        <w:rPr/>
        <w:t xml:space="preserve">Ethical considerations and/or protocol mentioned in the research design</w:t>
      </w:r>
    </w:p>
    <w:p>
      <w:pPr>
        <w:pStyle w:val="Heading2"/>
      </w:pPr>
      <w:bookmarkStart w:id="15" w:name="_Toc17"/>
      <w:r>
        <w:t>URL</w:t>
      </w:r>
      <w:bookmarkEnd w:id="15"/>
    </w:p>
    <w:p>
      <w:pPr/>
      <w:r>
        <w:rPr/>
        <w:t xml:space="preserve">https://www.growingup.ie/</w:t>
      </w:r>
    </w:p>
    <w:p>
      <w:pPr>
        <w:pStyle w:val="Heading2"/>
      </w:pPr>
      <w:bookmarkStart w:id="16" w:name="_Toc18"/>
      <w:r>
        <w:t>Data Set Availability</w:t>
      </w:r>
      <w:bookmarkEnd w:id="16"/>
    </w:p>
    <w:p>
      <w:pPr/>
      <w:r>
        <w:rPr/>
        <w:t xml:space="preserve">Data set in online repository</w:t>
      </w:r>
    </w:p>
    <w:p>
      <w:pPr>
        <w:pStyle w:val="Heading2"/>
      </w:pPr>
      <w:bookmarkStart w:id="17" w:name="_Toc19"/>
      <w:r>
        <w:t>Data Set Link</w:t>
      </w:r>
      <w:bookmarkEnd w:id="17"/>
    </w:p>
    <w:p>
      <w:pPr/>
      <w:r>
        <w:rPr/>
        <w:t xml:space="preserve">https://www.ucd.ie/issda/data/guiinfant/</w:t>
      </w:r>
    </w:p>
    <w:p>
      <w:pPr>
        <w:pStyle w:val="Heading1"/>
      </w:pPr>
      <w:bookmarkStart w:id="18" w:name="_Toc20"/>
      <w:r>
        <w:t>Goals</w:t>
      </w:r>
      <w:bookmarkEnd w:id="18"/>
    </w:p>
    <w:p>
      <w:pPr/>
      <w:r>
        <w:rPr/>
        <w:t xml:space="preserve">Growing Up in Ireland is a Government-funded study of children being carried out jointly by the ESRI and Trinity College Dublin. It is managed by the Department of Children, Equality, Disability, Integration and Youth (formerly Department of Children and Youth Affairs) in association with the Central Statistics Office. The study started in 2006 and follows the progress of two groups of children: 8,000 9-year-olds (Child Cohort/Cohort ’98) and 10,000 9-month-olds (Infant Cohort/Cohort ’08). The members of the Child Cohort are now aged about 23 years and those of the Infant Cohort are around 13 years old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12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D0392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2024-05-12T01:25:26+00:00</dcterms:created>
  <dcterms:modified xsi:type="dcterms:W3CDTF">2024-05-12T01:25:26+00:00</dcterms:modified>
</cp:coreProperties>
</file>

<file path=docProps/custom.xml><?xml version="1.0" encoding="utf-8"?>
<Properties xmlns="http://schemas.openxmlformats.org/officeDocument/2006/custom-properties" xmlns:vt="http://schemas.openxmlformats.org/officeDocument/2006/docPropsVTypes"/>
</file>