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Медийното потребление и „инфлуенсърите“ на децата и младите хора в България</w:t>
      </w:r>
    </w:p>
    <w:p>
      <w:pPr>
        <w:pStyle w:val="Title"/>
      </w:pPr>
      <w:r>
        <w:t>Engl. transl.: Media consumption and the "influencers" of children and young people in Bulgaria</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Pre-adolescents (11-13 Years old)</w:t>
      </w:r>
    </w:p>
    <w:p>
      <w:pPr>
        <w:numPr>
          <w:ilvl w:val="0"/>
          <w:numId w:val="5"/>
        </w:numPr>
      </w:pPr>
      <w:r>
        <w:rPr/>
        <w:t xml:space="preserve">All (0-18 years old)</w:t>
      </w:r>
    </w:p>
    <w:p>
      <w:pPr>
        <w:numPr>
          <w:ilvl w:val="0"/>
          <w:numId w:val="5"/>
        </w:numPr>
      </w:pPr>
      <w:r>
        <w:rPr/>
        <w:t xml:space="preserve">Young adults (19-24 Years old)</w:t>
      </w:r>
    </w:p>
    <w:p>
      <w:pPr>
        <w:pStyle w:val="Heading2"/>
      </w:pPr>
      <w:bookmarkStart w:id="9" w:name="_Toc11"/>
      <w:r>
        <w:t>Funder</w:t>
      </w:r>
      <w:bookmarkEnd w:id="9"/>
    </w:p>
    <w:p>
      <w:pPr/>
      <w:r>
        <w:rPr/>
        <w:t xml:space="preserve">UNICEF Bulgaria</w:t>
      </w:r>
    </w:p>
    <w:p>
      <w:pPr>
        <w:pStyle w:val="Heading2"/>
      </w:pPr>
      <w:bookmarkStart w:id="10" w:name="_Toc12"/>
      <w:r>
        <w:t>Funder Types</w:t>
      </w:r>
      <w:bookmarkEnd w:id="10"/>
    </w:p>
    <w:p>
      <w:pPr/>
      <w:r>
        <w:rPr/>
        <w:t xml:space="preserve">NGO (Advocacy, Charity, Consumer  organization)</w:t>
      </w:r>
    </w:p>
    <w:p>
      <w:pPr>
        <w:pStyle w:val="Heading2"/>
      </w:pPr>
      <w:bookmarkStart w:id="11" w:name="_Toc13"/>
      <w:r>
        <w:t>Informed Consent</w:t>
      </w:r>
      <w:bookmarkEnd w:id="11"/>
    </w:p>
    <w:p>
      <w:pPr/>
      <w:r>
        <w:rPr/>
        <w:t xml:space="preserve">Consent not mentioned</w:t>
      </w:r>
    </w:p>
    <w:p>
      <w:pPr>
        <w:pStyle w:val="Heading2"/>
      </w:pPr>
      <w:bookmarkStart w:id="12" w:name="_Toc14"/>
      <w:r>
        <w:t>URL</w:t>
      </w:r>
      <w:bookmarkEnd w:id="12"/>
    </w:p>
    <w:p>
      <w:pPr/>
      <w:r>
        <w:rPr/>
        <w:t xml:space="preserve">https://www.unicef.org/bulgaria/</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The focus is put on the media habits and practices of children and young people, popular personalities (the so called influencers) on the Web, and the extent to which digital technologies help them express themselves and achieve individual and community goals.  The realized total number of respondents (1773) includes a sample of 270 representatives of three vulnerable groups aged between 10 and 24 - people with disabilities, people of non-Bulgarian ethnicity, and people who do not work, study or participate in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E4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2025-11-03T14:20:08+00:00</dcterms:created>
  <dcterms:modified xsi:type="dcterms:W3CDTF">2025-11-03T14:20:08+00:00</dcterms:modified>
</cp:coreProperties>
</file>

<file path=docProps/custom.xml><?xml version="1.0" encoding="utf-8"?>
<Properties xmlns="http://schemas.openxmlformats.org/officeDocument/2006/custom-properties" xmlns:vt="http://schemas.openxmlformats.org/officeDocument/2006/docPropsVTypes"/>
</file>