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"/></w:pPr><w:r><w:t>The Internet of Toys</w:t></w:r></w:p><w:p><w:pPr><w:pStyle w:val="Heading1"/></w:pPr><w:bookmarkStart w:id="1" w:name="_Toc2"/><w:r><w:t>Details</w:t></w:r><w:bookmarkEnd w:id="1"/></w:p><w:p><w:pPr><w:pStyle w:val="Heading2"/></w:pPr><w:bookmarkStart w:id="2" w:name="_Toc3"/><w:r><w:t>Year</w:t></w:r><w:bookmarkEnd w:id="2"/></w:p><w:p><w:pPr/><w:r><w:rPr/><w:t xml:space="preserve">2017</w:t></w:r></w:p><w:p><w:pPr><w:pStyle w:val="Heading2"/></w:pPr><w:bookmarkStart w:id="3" w:name="_Toc4"/><w:r><w:t>Scope</w:t></w:r><w:bookmarkEnd w:id="3"/></w:p><w:p><w:pPr/><w:r><w:rPr/><w:t xml:space="preserve">Multinational</w:t></w:r></w:p><w:p><w:pPr><w:pStyle w:val="Heading2"/></w:pPr><w:bookmarkStart w:id="4" w:name="_Toc5"/><w:r><w:t>Countries</w:t></w:r><w:bookmarkEnd w:id="4"/></w:p><w:p><w:pPr><w:numPr><w:ilvl w:val="0"/><w:numId w:val="5"/></w:numPr></w:pPr><w:r><w:rPr/><w:t xml:space="preserve">Germany</w:t></w:r></w:p><w:p><w:pPr><w:numPr><w:ilvl w:val="0"/><w:numId w:val="5"/></w:numPr></w:pPr><w:r><w:rPr/><w:t xml:space="preserve">Austria</w:t></w:r></w:p><w:p><w:pPr><w:numPr><w:ilvl w:val="0"/><w:numId w:val="5"/></w:numPr></w:pPr><w:r><w:rPr/><w:t xml:space="preserve">Finland</w:t></w:r></w:p><w:p><w:pPr><w:numPr><w:ilvl w:val="0"/><w:numId w:val="5"/></w:numPr></w:pPr><w:r><w:rPr/><w:t xml:space="preserve">Italy</w:t></w:r></w:p><w:p><w:pPr><w:numPr><w:ilvl w:val="0"/><w:numId w:val="5"/></w:numPr></w:pPr><w:r><w:rPr/><w:t xml:space="preserve">Lithuania</w:t></w:r></w:p><w:p><w:pPr><w:numPr><w:ilvl w:val="0"/><w:numId w:val="5"/></w:numPr></w:pPr><w:r><w:rPr/><w:t xml:space="preserve">Malta</w:t></w:r></w:p><w:p><w:pPr><w:numPr><w:ilvl w:val="0"/><w:numId w:val="5"/></w:numPr></w:pPr><w:r><w:rPr/><w:t xml:space="preserve">Portugal</w:t></w:r></w:p><w:p><w:pPr><w:numPr><w:ilvl w:val="0"/><w:numId w:val="5"/></w:numPr></w:pPr><w:r><w:rPr/><w:t xml:space="preserve">Serbia</w:t></w:r></w:p><w:p><w:pPr><w:numPr><w:ilvl w:val="0"/><w:numId w:val="5"/></w:numPr></w:pPr><w:r><w:rPr/><w:t xml:space="preserve">Slovenia</w:t></w:r></w:p><w:p><w:pPr><w:numPr><w:ilvl w:val="0"/><w:numId w:val="5"/></w:numPr></w:pPr><w:r><w:rPr/><w:t xml:space="preserve">Spain</w:t></w:r></w:p><w:p><w:pPr><w:numPr><w:ilvl w:val="0"/><w:numId w:val="5"/></w:numPr></w:pPr><w:r><w:rPr/><w:t xml:space="preserve">Other</w:t></w:r></w:p><w:p><w:pPr><w:pStyle w:val="Heading2"/></w:pPr><w:bookmarkStart w:id="5" w:name="_Toc6"/><w:r><w:t>Type</w:t></w:r><w:bookmarkEnd w:id="5"/></w:p><w:p><w:pPr/><w:r><w:rPr/><w:t xml:space="preserve">Empirical research – Mixed methods</w:t></w:r></w:p><w:p><w:pPr><w:pStyle w:val="Heading2"/></w:pPr><w:bookmarkStart w:id="6" w:name="_Toc7"/><w:r><w:t>Methodologies</w:t></w:r><w:bookmarkEnd w:id="6"/></w:p><w:p><w:pPr/><w:r><w:rPr/><w:t xml:space="preserve">Textual / documentary / content analysis</w:t></w:r></w:p><w:p><w:pPr><w:pStyle w:val="Heading2"/></w:pPr><w:bookmarkStart w:id="7" w:name="_Toc8"/><w:r><w:t>Informed Consent</w:t></w:r><w:bookmarkEnd w:id="7"/></w:p><w:p><w:pPr/><w:r><w:rPr/><w:t xml:space="preserve">No consent needed</w:t></w:r></w:p><w:p><w:pPr><w:pStyle w:val="Heading2"/></w:pPr><w:bookmarkStart w:id="8" w:name="_Toc9"/><w:r><w:t>Ethics</w:t></w:r><w:bookmarkEnd w:id="8"/></w:p><w:p><w:pPr/><w:r><w:rPr/><w:t xml:space="preserve">Ethical considerations and/or protocol mentioned in the research design</w:t></w:r></w:p><w:p><w:pPr><w:pStyle w:val="Heading2"/></w:pPr><w:bookmarkStart w:id="9" w:name="_Toc10"/><w:r><w:t>Data Set Availability</w:t></w:r><w:bookmarkEnd w:id="9"/></w:p><w:p><w:pPr/><w:r><w:rPr/><w:t xml:space="preserve">Not mentioned</w:t></w:r></w:p><w:p><w:pPr><w:pStyle w:val="Heading1"/></w:pPr><w:bookmarkStart w:id="10" w:name="_Toc11"/><w:r><w:t>Goals</w:t></w:r><w:bookmarkEnd w:id="10"/></w:p><w:p><w:pPr/><w:r><w:rPr/><w:t xml:space="preserve">"The research aimed to analyse the discursive environment of smart toys, i.e. its representations in media commentaries and commercial advertisements." (Mascheroni, Holloway & Kupiainen, 2017; p. 4) to "understand how the opportunities and risks of IoToys are constructed and framed. It also shed lights on the production and design of internet connected-toys, as well as on their reception." (Mascheroni, Holloway & Kupianinen, 2017; p. 4).</w:t></w:r></w:p><w:sectPr><w:headerReference w:type="default" r:id="rId7"/><w:footerReference w:type="default" r:id="rId8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18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9B8D9F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2025-10-18T17:50:55+00:00</dcterms:created>
  <dcterms:modified xsi:type="dcterms:W3CDTF">2025-10-18T17:50:55+00:00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