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Webwise 2017 Parenting Survey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Ireland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Parents</w:t>
      </w:r>
    </w:p>
    <w:p>
      <w:pPr>
        <w:pStyle w:val="Heading2"/>
      </w:pPr>
      <w:bookmarkStart w:id="8" w:name="_Toc9"/>
      <w:r>
        <w:t>Funder Types</w:t>
      </w:r>
      <w:bookmarkEnd w:id="8"/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URL</w:t>
      </w:r>
      <w:bookmarkEnd w:id="10"/>
    </w:p>
    <w:p>
      <w:pPr/>
      <w:r>
        <w:rPr/>
        <w:t xml:space="preserve">https://www.webwise.ie/news/webwise-2017-parenting-survey/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The survey addressed 4 main topics: 1) Strategies for digital parenting; 2) Attitudes towards children’s
internet use; 3) Concerns about online risks; and 4) Appropriate age for social networking.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2025-10-15T20:12:36+00:00</dcterms:created>
  <dcterms:modified xsi:type="dcterms:W3CDTF">2025-10-15T20:12:36+00:00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