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Онлайн поведението на децата в България</w:t>
      </w:r>
    </w:p>
    <w:p>
      <w:pPr>
        <w:pStyle w:val="Title"/>
      </w:pPr>
      <w:r>
        <w:t>Engl. transl.: Online Conduct of Children in Bulgaria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Connecting Europe Facility; Oak Foundation</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survey, which is a part of Global Kids Online, examined how children and young people engage with the internet and digital technologies in their everyday lives. The key themes covered in the survey include: children’s access to internet and their online practices; digital skills and abilities; the digital environment; parental support and mediation; issues dealing with risks and safety. Different demographic data and information on family and social surroundings were also gathered. The Bulgarian Safer Internet Center used the results from the survey to produce three reports (see below) on online risks, parental mediation, and digital and media literacy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B14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2025-09-09T08:13:27+00:00</dcterms:created>
  <dcterms:modified xsi:type="dcterms:W3CDTF">2025-09-09T08:13:27+00:00</dcterms:modified>
</cp:coreProperties>
</file>

<file path=docProps/custom.xml><?xml version="1.0" encoding="utf-8"?>
<Properties xmlns="http://schemas.openxmlformats.org/officeDocument/2006/custom-properties" xmlns:vt="http://schemas.openxmlformats.org/officeDocument/2006/docPropsVTypes"/>
</file>