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Nastolatki 3.0</w:t>
      </w:r>
    </w:p>
    <w:p>
      <w:pPr>
        <w:pStyle w:val="Title"/>
      </w:pPr>
      <w:r>
        <w:t>Engl. transl.: Teenagers 3.0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Poland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NASK, Fundacja Pedagogium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/>
      <w:r>
        <w:rPr/>
        <w:t xml:space="preserve">Consent obtained from children</w:t>
      </w:r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not mentioned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https://nck.pl/badania/raporty/raport--nastolatki-wobec-internetu-3-0-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The main purpose of study "Teenagers 3.0" was to analyze the activity of young people on the Internet. Some of the most important aspects were: the scope and purposes of use, the use of the Internet at school, Internet identity and awareness of the risks associated with the use of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2025-11-02T20:00:54+00:00</dcterms:created>
  <dcterms:modified xsi:type="dcterms:W3CDTF">2025-11-02T20:00:54+00:00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